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043" w:rsidRPr="002302AF" w:rsidRDefault="00AF0845" w:rsidP="00542287">
      <w:pPr>
        <w:jc w:val="center"/>
        <w:rPr>
          <w:rFonts w:ascii="Calibri" w:hAnsi="Calibri" w:cs="Calibri"/>
          <w:b/>
          <w:sz w:val="22"/>
        </w:rPr>
      </w:pPr>
      <w:r w:rsidRPr="002302AF">
        <w:rPr>
          <w:rFonts w:ascii="Calibri" w:hAnsi="Calibri" w:cs="Calibri"/>
          <w:b/>
          <w:sz w:val="22"/>
        </w:rPr>
        <w:t xml:space="preserve">«ТОПТОМО» АМАНАТЫ 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7513"/>
      </w:tblGrid>
      <w:tr w:rsidR="00B95043" w:rsidRPr="002302AF" w:rsidTr="006F42F4">
        <w:trPr>
          <w:cantSplit/>
          <w:trHeight w:val="465"/>
        </w:trPr>
        <w:tc>
          <w:tcPr>
            <w:tcW w:w="3402" w:type="dxa"/>
            <w:vAlign w:val="center"/>
          </w:tcPr>
          <w:p w:rsidR="00B95043" w:rsidRPr="002302AF" w:rsidRDefault="00AF0845" w:rsidP="00542287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Продуктынын аталышы</w:t>
            </w:r>
            <w:r w:rsidR="00B95043" w:rsidRPr="002302AF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B95043" w:rsidRPr="002302AF" w:rsidRDefault="00AF0845" w:rsidP="00542287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2302AF">
              <w:rPr>
                <w:rFonts w:ascii="Calibri" w:hAnsi="Calibri" w:cs="Calibri"/>
                <w:sz w:val="22"/>
              </w:rPr>
              <w:t xml:space="preserve">«Топтомо» аманаты </w:t>
            </w:r>
          </w:p>
        </w:tc>
      </w:tr>
      <w:tr w:rsidR="00B95043" w:rsidRPr="002302AF" w:rsidTr="006F42F4">
        <w:trPr>
          <w:cantSplit/>
          <w:trHeight w:val="482"/>
        </w:trPr>
        <w:tc>
          <w:tcPr>
            <w:tcW w:w="3402" w:type="dxa"/>
            <w:vAlign w:val="center"/>
          </w:tcPr>
          <w:p w:rsidR="00B95043" w:rsidRPr="002302AF" w:rsidRDefault="00AF0845" w:rsidP="00542287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Продуктынын к</w:t>
            </w:r>
            <w:r w:rsidR="00B95043" w:rsidRPr="002302AF">
              <w:rPr>
                <w:rFonts w:ascii="Calibri" w:hAnsi="Calibri" w:cs="Calibri"/>
                <w:b/>
                <w:sz w:val="22"/>
              </w:rPr>
              <w:t>лассификация</w:t>
            </w: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сы</w:t>
            </w:r>
            <w:r w:rsidR="00B95043" w:rsidRPr="002302AF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B95043" w:rsidRPr="002302AF" w:rsidRDefault="00AF0845" w:rsidP="00870A08">
            <w:pPr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2302AF">
              <w:rPr>
                <w:rFonts w:ascii="Calibri" w:hAnsi="Calibri" w:cs="Calibri"/>
                <w:sz w:val="22"/>
                <w:lang w:val="ky-KG"/>
              </w:rPr>
              <w:t xml:space="preserve">Жеке жактардын </w:t>
            </w:r>
            <w:r w:rsidR="00E3255B" w:rsidRPr="002302AF">
              <w:rPr>
                <w:rFonts w:ascii="Calibri" w:hAnsi="Calibri" w:cs="Calibri"/>
                <w:sz w:val="22"/>
                <w:lang w:val="ky-KG"/>
              </w:rPr>
              <w:t>аманаттары, Толуктоо м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="00E3255B" w:rsidRPr="002302AF">
              <w:rPr>
                <w:rFonts w:ascii="Calibri" w:hAnsi="Calibri" w:cs="Calibri"/>
                <w:sz w:val="22"/>
                <w:lang w:val="ky-KG"/>
              </w:rPr>
              <w:t>мк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="00E3255B" w:rsidRPr="002302AF">
              <w:rPr>
                <w:rFonts w:ascii="Calibri" w:hAnsi="Calibri" w:cs="Calibri"/>
                <w:sz w:val="22"/>
                <w:lang w:val="ky-KG"/>
              </w:rPr>
              <w:t>нд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="00E3255B" w:rsidRPr="002302AF">
              <w:rPr>
                <w:rFonts w:ascii="Calibri" w:hAnsi="Calibri" w:cs="Calibri"/>
                <w:sz w:val="22"/>
                <w:lang w:val="ky-KG"/>
              </w:rPr>
              <w:t>г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="00E3255B" w:rsidRPr="002302AF">
              <w:rPr>
                <w:rFonts w:ascii="Calibri" w:hAnsi="Calibri" w:cs="Calibri"/>
                <w:sz w:val="22"/>
                <w:lang w:val="ky-KG"/>
              </w:rPr>
              <w:t xml:space="preserve"> менен топтомо аманат.</w:t>
            </w:r>
            <w:r w:rsidR="00B95043" w:rsidRPr="002302AF">
              <w:rPr>
                <w:rFonts w:ascii="Calibri" w:hAnsi="Calibri" w:cs="Calibri"/>
                <w:sz w:val="22"/>
              </w:rPr>
              <w:t xml:space="preserve"> </w:t>
            </w:r>
          </w:p>
          <w:p w:rsidR="00B95043" w:rsidRPr="002302AF" w:rsidRDefault="00E3255B" w:rsidP="00870A08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2302AF">
              <w:rPr>
                <w:rFonts w:ascii="Calibri" w:hAnsi="Calibri" w:cs="Calibri"/>
                <w:sz w:val="22"/>
                <w:lang w:val="ky-KG"/>
              </w:rPr>
              <w:t xml:space="preserve">Аманатты 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ч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нч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 xml:space="preserve"> жактар да толуктай алышат</w:t>
            </w:r>
            <w:r w:rsidR="00B95043" w:rsidRPr="002302AF">
              <w:rPr>
                <w:rFonts w:ascii="Calibri" w:hAnsi="Calibri" w:cs="Calibri"/>
                <w:sz w:val="22"/>
              </w:rPr>
              <w:t>.</w:t>
            </w:r>
          </w:p>
        </w:tc>
      </w:tr>
      <w:tr w:rsidR="00B95043" w:rsidRPr="002302AF" w:rsidTr="006F42F4">
        <w:trPr>
          <w:cantSplit/>
          <w:trHeight w:val="232"/>
        </w:trPr>
        <w:tc>
          <w:tcPr>
            <w:tcW w:w="3402" w:type="dxa"/>
            <w:vAlign w:val="center"/>
          </w:tcPr>
          <w:p w:rsidR="00B95043" w:rsidRPr="002302AF" w:rsidRDefault="00B95043" w:rsidP="00542287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2302AF">
              <w:rPr>
                <w:rFonts w:ascii="Calibri" w:hAnsi="Calibri" w:cs="Calibri"/>
                <w:b/>
                <w:sz w:val="22"/>
              </w:rPr>
              <w:t xml:space="preserve">Валюта </w:t>
            </w:r>
          </w:p>
        </w:tc>
        <w:tc>
          <w:tcPr>
            <w:tcW w:w="7513" w:type="dxa"/>
            <w:vAlign w:val="center"/>
          </w:tcPr>
          <w:p w:rsidR="00B95043" w:rsidRPr="002302AF" w:rsidRDefault="00B96555" w:rsidP="00542287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2302AF">
              <w:rPr>
                <w:rFonts w:ascii="Calibri" w:hAnsi="Calibri" w:cs="Calibri"/>
                <w:sz w:val="22"/>
                <w:lang w:val="en-US"/>
              </w:rPr>
              <w:t>KGS</w:t>
            </w:r>
            <w:r w:rsidRPr="002302AF">
              <w:rPr>
                <w:rFonts w:ascii="Calibri" w:hAnsi="Calibri" w:cs="Calibri"/>
                <w:sz w:val="22"/>
              </w:rPr>
              <w:t xml:space="preserve">, </w:t>
            </w:r>
            <w:r w:rsidRPr="002302AF">
              <w:rPr>
                <w:rFonts w:ascii="Calibri" w:hAnsi="Calibri" w:cs="Calibri"/>
                <w:sz w:val="22"/>
                <w:lang w:val="en-US"/>
              </w:rPr>
              <w:t>RUB</w:t>
            </w:r>
          </w:p>
        </w:tc>
      </w:tr>
      <w:tr w:rsidR="00B95043" w:rsidRPr="002302AF" w:rsidTr="006F42F4">
        <w:trPr>
          <w:cantSplit/>
          <w:trHeight w:val="232"/>
        </w:trPr>
        <w:tc>
          <w:tcPr>
            <w:tcW w:w="3402" w:type="dxa"/>
            <w:vAlign w:val="center"/>
          </w:tcPr>
          <w:p w:rsidR="00B95043" w:rsidRPr="002302AF" w:rsidRDefault="00E3255B" w:rsidP="00542287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Аманаттын м</w:t>
            </w:r>
            <w:r w:rsidR="00640688" w:rsidRPr="002302AF">
              <w:rPr>
                <w:rFonts w:ascii="Calibri" w:hAnsi="Calibri" w:cs="Calibri"/>
                <w:b/>
                <w:sz w:val="22"/>
                <w:lang w:val="ky-KG"/>
              </w:rPr>
              <w:t>өө</w:t>
            </w: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н</w:t>
            </w:r>
            <w:r w:rsidR="00640688" w:rsidRPr="002302AF">
              <w:rPr>
                <w:rFonts w:ascii="Calibri" w:hAnsi="Calibri" w:cs="Calibri"/>
                <w:b/>
                <w:sz w:val="22"/>
                <w:lang w:val="ky-KG"/>
              </w:rPr>
              <w:t>ө</w:t>
            </w: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т</w:t>
            </w:r>
            <w:r w:rsidR="00640688" w:rsidRPr="002302AF">
              <w:rPr>
                <w:rFonts w:ascii="Calibri" w:hAnsi="Calibri" w:cs="Calibri"/>
                <w:b/>
                <w:sz w:val="22"/>
                <w:lang w:val="ky-KG"/>
              </w:rPr>
              <w:t>ү</w:t>
            </w:r>
            <w:r w:rsidR="00B95043" w:rsidRPr="002302AF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B95043" w:rsidRPr="002302AF" w:rsidRDefault="00B96555" w:rsidP="005A4FF7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2302AF">
              <w:rPr>
                <w:rFonts w:ascii="Calibri" w:hAnsi="Calibri" w:cs="Calibri"/>
                <w:sz w:val="22"/>
                <w:lang w:val="en-US"/>
              </w:rPr>
              <w:t>KGS</w:t>
            </w:r>
            <w:r w:rsidRPr="002302AF">
              <w:rPr>
                <w:rFonts w:ascii="Calibri" w:hAnsi="Calibri" w:cs="Calibri"/>
                <w:sz w:val="22"/>
              </w:rPr>
              <w:t xml:space="preserve"> </w:t>
            </w:r>
            <w:r w:rsidR="00B95043" w:rsidRPr="002302AF">
              <w:rPr>
                <w:rFonts w:ascii="Calibri" w:hAnsi="Calibri" w:cs="Calibri"/>
                <w:sz w:val="22"/>
              </w:rPr>
              <w:t xml:space="preserve">6 </w:t>
            </w:r>
            <w:r w:rsidR="00E3255B" w:rsidRPr="002302AF">
              <w:rPr>
                <w:rFonts w:ascii="Calibri" w:hAnsi="Calibri" w:cs="Calibri"/>
                <w:sz w:val="22"/>
                <w:lang w:val="ky-KG"/>
              </w:rPr>
              <w:t>айдан</w:t>
            </w:r>
            <w:r w:rsidR="00B95043" w:rsidRPr="002302AF">
              <w:rPr>
                <w:rFonts w:ascii="Calibri" w:hAnsi="Calibri" w:cs="Calibri"/>
                <w:sz w:val="22"/>
              </w:rPr>
              <w:t xml:space="preserve"> 36 </w:t>
            </w:r>
            <w:r w:rsidR="00E3255B" w:rsidRPr="002302AF">
              <w:rPr>
                <w:rFonts w:ascii="Calibri" w:hAnsi="Calibri" w:cs="Calibri"/>
                <w:sz w:val="22"/>
                <w:lang w:val="ky-KG"/>
              </w:rPr>
              <w:t>айга чейин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 xml:space="preserve">, </w:t>
            </w:r>
            <w:r w:rsidRPr="002302AF">
              <w:rPr>
                <w:rFonts w:ascii="Calibri" w:hAnsi="Calibri" w:cs="Calibri"/>
                <w:sz w:val="22"/>
                <w:lang w:val="en-US"/>
              </w:rPr>
              <w:t>RUB</w:t>
            </w:r>
            <w:r w:rsidRPr="002302AF">
              <w:rPr>
                <w:rFonts w:ascii="Calibri" w:hAnsi="Calibri" w:cs="Calibri"/>
                <w:sz w:val="22"/>
              </w:rPr>
              <w:t xml:space="preserve"> 3 айдан 12 айга чейин.</w:t>
            </w:r>
          </w:p>
        </w:tc>
      </w:tr>
      <w:tr w:rsidR="00B95043" w:rsidRPr="002302AF" w:rsidTr="006F42F4">
        <w:trPr>
          <w:cantSplit/>
          <w:trHeight w:val="533"/>
        </w:trPr>
        <w:tc>
          <w:tcPr>
            <w:tcW w:w="3402" w:type="dxa"/>
            <w:vAlign w:val="center"/>
          </w:tcPr>
          <w:p w:rsidR="00B95043" w:rsidRPr="002302AF" w:rsidRDefault="00E3255B" w:rsidP="00542287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Аманаттын м</w:t>
            </w:r>
            <w:r w:rsidR="00B95043" w:rsidRPr="002302AF">
              <w:rPr>
                <w:rFonts w:ascii="Calibri" w:hAnsi="Calibri" w:cs="Calibri"/>
                <w:b/>
                <w:sz w:val="22"/>
              </w:rPr>
              <w:t>инимал</w:t>
            </w: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 xml:space="preserve">дуу баштапкы </w:t>
            </w:r>
            <w:r w:rsidR="00B95043" w:rsidRPr="002302AF">
              <w:rPr>
                <w:rFonts w:ascii="Calibri" w:hAnsi="Calibri" w:cs="Calibri"/>
                <w:b/>
                <w:sz w:val="22"/>
              </w:rPr>
              <w:t>сумма</w:t>
            </w: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сы</w:t>
            </w:r>
          </w:p>
        </w:tc>
        <w:tc>
          <w:tcPr>
            <w:tcW w:w="7513" w:type="dxa"/>
            <w:vAlign w:val="center"/>
          </w:tcPr>
          <w:p w:rsidR="00B95043" w:rsidRPr="002302AF" w:rsidRDefault="00B95043" w:rsidP="00542287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2302AF">
              <w:rPr>
                <w:rFonts w:ascii="Calibri" w:hAnsi="Calibri" w:cs="Calibri"/>
                <w:sz w:val="22"/>
              </w:rPr>
              <w:t xml:space="preserve">1 000 </w:t>
            </w:r>
            <w:r w:rsidRPr="002302AF">
              <w:rPr>
                <w:rFonts w:ascii="Calibri" w:hAnsi="Calibri" w:cs="Calibri"/>
                <w:sz w:val="22"/>
                <w:lang w:val="en-US"/>
              </w:rPr>
              <w:t>KGS</w:t>
            </w:r>
            <w:r w:rsidR="00B96555" w:rsidRPr="002302AF">
              <w:rPr>
                <w:rFonts w:ascii="Calibri" w:hAnsi="Calibri" w:cs="Calibri"/>
                <w:sz w:val="22"/>
              </w:rPr>
              <w:t xml:space="preserve">, 1 000 </w:t>
            </w:r>
            <w:r w:rsidR="00B96555" w:rsidRPr="002302AF">
              <w:rPr>
                <w:rFonts w:ascii="Calibri" w:hAnsi="Calibri" w:cs="Calibri"/>
                <w:sz w:val="22"/>
                <w:lang w:val="en-US"/>
              </w:rPr>
              <w:t>RUB</w:t>
            </w:r>
            <w:r w:rsidR="00B96555" w:rsidRPr="002302AF">
              <w:rPr>
                <w:rFonts w:ascii="Calibri" w:hAnsi="Calibri" w:cs="Calibri"/>
                <w:sz w:val="22"/>
              </w:rPr>
              <w:t>.</w:t>
            </w:r>
          </w:p>
        </w:tc>
      </w:tr>
      <w:tr w:rsidR="00B95043" w:rsidRPr="002302AF" w:rsidTr="006F42F4">
        <w:trPr>
          <w:cantSplit/>
          <w:trHeight w:val="555"/>
        </w:trPr>
        <w:tc>
          <w:tcPr>
            <w:tcW w:w="3402" w:type="dxa"/>
            <w:vAlign w:val="center"/>
          </w:tcPr>
          <w:p w:rsidR="00B95043" w:rsidRPr="002302AF" w:rsidRDefault="00E3255B" w:rsidP="00542287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Аманаттын макси</w:t>
            </w:r>
            <w:r w:rsidRPr="002302AF">
              <w:rPr>
                <w:rFonts w:ascii="Calibri" w:hAnsi="Calibri" w:cs="Calibri"/>
                <w:b/>
                <w:sz w:val="22"/>
              </w:rPr>
              <w:t>мал</w:t>
            </w: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 xml:space="preserve">дуу баштапкы </w:t>
            </w:r>
            <w:r w:rsidRPr="002302AF">
              <w:rPr>
                <w:rFonts w:ascii="Calibri" w:hAnsi="Calibri" w:cs="Calibri"/>
                <w:b/>
                <w:sz w:val="22"/>
              </w:rPr>
              <w:t>сумма</w:t>
            </w: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сы</w:t>
            </w:r>
          </w:p>
        </w:tc>
        <w:tc>
          <w:tcPr>
            <w:tcW w:w="7513" w:type="dxa"/>
            <w:vAlign w:val="center"/>
          </w:tcPr>
          <w:p w:rsidR="00B95043" w:rsidRPr="002302AF" w:rsidRDefault="004D0E3D" w:rsidP="00542287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2302AF">
              <w:rPr>
                <w:rFonts w:ascii="Calibri" w:hAnsi="Calibri" w:cs="Calibri"/>
                <w:sz w:val="22"/>
                <w:lang w:val="ky-KG"/>
              </w:rPr>
              <w:t>Чектөө жок</w:t>
            </w:r>
            <w:r w:rsidR="00B96555" w:rsidRPr="002302AF">
              <w:rPr>
                <w:rFonts w:ascii="Calibri" w:hAnsi="Calibri" w:cs="Calibri"/>
                <w:sz w:val="22"/>
                <w:lang w:val="ky-KG"/>
              </w:rPr>
              <w:t xml:space="preserve"> </w:t>
            </w:r>
          </w:p>
        </w:tc>
      </w:tr>
      <w:tr w:rsidR="00B95043" w:rsidRPr="002302AF" w:rsidTr="006F42F4">
        <w:trPr>
          <w:cantSplit/>
          <w:trHeight w:val="699"/>
        </w:trPr>
        <w:tc>
          <w:tcPr>
            <w:tcW w:w="3402" w:type="dxa"/>
            <w:vAlign w:val="center"/>
          </w:tcPr>
          <w:p w:rsidR="00B95043" w:rsidRPr="002302AF" w:rsidRDefault="00E3255B" w:rsidP="00542287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Бир жолку толуктоонун м</w:t>
            </w:r>
            <w:r w:rsidR="00B95043" w:rsidRPr="002302AF">
              <w:rPr>
                <w:rFonts w:ascii="Calibri" w:hAnsi="Calibri" w:cs="Calibri"/>
                <w:b/>
                <w:sz w:val="22"/>
              </w:rPr>
              <w:t>инимал</w:t>
            </w: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дуу</w:t>
            </w:r>
            <w:r w:rsidR="00B95043" w:rsidRPr="002302AF">
              <w:rPr>
                <w:rFonts w:ascii="Calibri" w:hAnsi="Calibri" w:cs="Calibri"/>
                <w:b/>
                <w:sz w:val="22"/>
              </w:rPr>
              <w:t xml:space="preserve"> сумма</w:t>
            </w: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сы</w:t>
            </w:r>
            <w:r w:rsidR="00B95043" w:rsidRPr="002302AF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B95043" w:rsidRPr="002302AF" w:rsidRDefault="004D0E3D" w:rsidP="00542287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2302AF">
              <w:rPr>
                <w:rFonts w:ascii="Calibri" w:hAnsi="Calibri" w:cs="Calibri"/>
                <w:sz w:val="22"/>
                <w:lang w:val="ky-KG"/>
              </w:rPr>
              <w:t>Чектөө жок</w:t>
            </w:r>
            <w:r w:rsidRPr="002302AF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B95043" w:rsidRPr="002302AF" w:rsidTr="006F42F4">
        <w:trPr>
          <w:cantSplit/>
          <w:trHeight w:val="447"/>
        </w:trPr>
        <w:tc>
          <w:tcPr>
            <w:tcW w:w="3402" w:type="dxa"/>
            <w:vAlign w:val="center"/>
          </w:tcPr>
          <w:p w:rsidR="00B95043" w:rsidRPr="002302AF" w:rsidRDefault="00E3255B" w:rsidP="00542287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Айына толуктоонун макси</w:t>
            </w:r>
            <w:r w:rsidRPr="002302AF">
              <w:rPr>
                <w:rFonts w:ascii="Calibri" w:hAnsi="Calibri" w:cs="Calibri"/>
                <w:b/>
                <w:sz w:val="22"/>
              </w:rPr>
              <w:t>мал</w:t>
            </w: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 xml:space="preserve">дуу </w:t>
            </w:r>
            <w:r w:rsidRPr="002302AF">
              <w:rPr>
                <w:rFonts w:ascii="Calibri" w:hAnsi="Calibri" w:cs="Calibri"/>
                <w:b/>
                <w:sz w:val="22"/>
              </w:rPr>
              <w:t>сумма</w:t>
            </w: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сы</w:t>
            </w:r>
            <w:r w:rsidRPr="002302AF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B95043" w:rsidRPr="002302AF" w:rsidRDefault="001D7F0F" w:rsidP="000D3B27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1 0</w:t>
            </w:r>
            <w:r w:rsidR="00B95043" w:rsidRPr="002302AF">
              <w:rPr>
                <w:rFonts w:ascii="Calibri" w:hAnsi="Calibri" w:cs="Calibri"/>
                <w:sz w:val="22"/>
              </w:rPr>
              <w:t xml:space="preserve">00 000 </w:t>
            </w:r>
            <w:r w:rsidR="00B96555" w:rsidRPr="002302AF">
              <w:rPr>
                <w:rFonts w:ascii="Calibri" w:hAnsi="Calibri" w:cs="Calibri"/>
                <w:sz w:val="22"/>
                <w:lang w:val="en-US"/>
              </w:rPr>
              <w:t>KGS</w:t>
            </w:r>
            <w:r w:rsidR="00B96555" w:rsidRPr="002302AF">
              <w:rPr>
                <w:rFonts w:ascii="Calibri" w:hAnsi="Calibri" w:cs="Calibri"/>
                <w:sz w:val="22"/>
              </w:rPr>
              <w:t xml:space="preserve">, </w:t>
            </w:r>
            <w:r>
              <w:rPr>
                <w:rFonts w:ascii="Calibri" w:hAnsi="Calibri" w:cs="Calibri"/>
                <w:sz w:val="22"/>
              </w:rPr>
              <w:t>1 0</w:t>
            </w:r>
            <w:r w:rsidR="00B96555" w:rsidRPr="002302AF">
              <w:rPr>
                <w:rFonts w:ascii="Calibri" w:hAnsi="Calibri" w:cs="Calibri"/>
                <w:sz w:val="22"/>
                <w:lang w:val="en-US"/>
              </w:rPr>
              <w:t>00 000 RUB</w:t>
            </w:r>
          </w:p>
        </w:tc>
      </w:tr>
      <w:tr w:rsidR="00B95043" w:rsidRPr="002302AF" w:rsidTr="006F42F4">
        <w:trPr>
          <w:cantSplit/>
          <w:trHeight w:val="447"/>
        </w:trPr>
        <w:tc>
          <w:tcPr>
            <w:tcW w:w="3402" w:type="dxa"/>
            <w:vAlign w:val="center"/>
          </w:tcPr>
          <w:p w:rsidR="00B95043" w:rsidRPr="002302AF" w:rsidRDefault="00E3255B" w:rsidP="00542287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Аманаттын тиби</w:t>
            </w:r>
          </w:p>
        </w:tc>
        <w:tc>
          <w:tcPr>
            <w:tcW w:w="7513" w:type="dxa"/>
            <w:vAlign w:val="center"/>
          </w:tcPr>
          <w:p w:rsidR="00B95043" w:rsidRPr="002302AF" w:rsidRDefault="00E3255B" w:rsidP="00542287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2302AF">
              <w:rPr>
                <w:rFonts w:ascii="Calibri" w:hAnsi="Calibri" w:cs="Calibri"/>
                <w:sz w:val="22"/>
                <w:lang w:val="ky-KG"/>
              </w:rPr>
              <w:t>М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өө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н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тт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үү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 xml:space="preserve"> топтомо аманат</w:t>
            </w:r>
            <w:r w:rsidR="00B96555" w:rsidRPr="002302AF">
              <w:rPr>
                <w:rFonts w:ascii="Calibri" w:hAnsi="Calibri" w:cs="Calibri"/>
                <w:sz w:val="22"/>
                <w:lang w:val="ky-KG"/>
              </w:rPr>
              <w:t xml:space="preserve"> </w:t>
            </w:r>
            <w:r w:rsidR="00B95043" w:rsidRPr="002302AF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B95043" w:rsidRPr="002302AF" w:rsidTr="006F42F4">
        <w:trPr>
          <w:cantSplit/>
          <w:trHeight w:val="232"/>
        </w:trPr>
        <w:tc>
          <w:tcPr>
            <w:tcW w:w="3402" w:type="dxa"/>
            <w:vAlign w:val="center"/>
          </w:tcPr>
          <w:p w:rsidR="00B95043" w:rsidRPr="002302AF" w:rsidRDefault="00E3255B" w:rsidP="0045327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Пайыздарды к</w:t>
            </w:r>
            <w:r w:rsidR="00B95043" w:rsidRPr="002302AF">
              <w:rPr>
                <w:rFonts w:ascii="Calibri" w:hAnsi="Calibri" w:cs="Calibri"/>
                <w:b/>
                <w:sz w:val="22"/>
              </w:rPr>
              <w:t>апитал</w:t>
            </w: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даштыр</w:t>
            </w:r>
            <w:r w:rsidR="000E4BC1" w:rsidRPr="002302AF">
              <w:rPr>
                <w:rFonts w:ascii="Calibri" w:hAnsi="Calibri" w:cs="Calibri"/>
                <w:b/>
                <w:sz w:val="22"/>
                <w:lang w:val="ky-KG"/>
              </w:rPr>
              <w:t>у</w:t>
            </w: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у</w:t>
            </w:r>
          </w:p>
        </w:tc>
        <w:tc>
          <w:tcPr>
            <w:tcW w:w="7513" w:type="dxa"/>
            <w:vAlign w:val="center"/>
          </w:tcPr>
          <w:p w:rsidR="00B95043" w:rsidRPr="002302AF" w:rsidRDefault="00E3255B" w:rsidP="0045327F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2302AF">
              <w:rPr>
                <w:rFonts w:ascii="Calibri" w:hAnsi="Calibri" w:cs="Calibri"/>
                <w:sz w:val="22"/>
                <w:lang w:val="ky-KG"/>
              </w:rPr>
              <w:t xml:space="preserve">Ар </w:t>
            </w:r>
            <w:r w:rsidR="00B95043" w:rsidRPr="002302AF">
              <w:rPr>
                <w:rFonts w:ascii="Calibri" w:hAnsi="Calibri" w:cs="Calibri"/>
                <w:sz w:val="22"/>
              </w:rPr>
              <w:t>квартал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да</w:t>
            </w:r>
            <w:r w:rsidR="00B95043" w:rsidRPr="002302AF">
              <w:rPr>
                <w:rFonts w:ascii="Calibri" w:hAnsi="Calibri" w:cs="Calibri"/>
                <w:sz w:val="22"/>
              </w:rPr>
              <w:t xml:space="preserve">, </w:t>
            </w:r>
            <w:r w:rsidR="000E4BC1" w:rsidRPr="002302AF">
              <w:rPr>
                <w:rFonts w:ascii="Calibri" w:hAnsi="Calibri" w:cs="Calibri"/>
                <w:sz w:val="22"/>
                <w:lang w:val="ky-KG"/>
              </w:rPr>
              <w:t xml:space="preserve">Пайыздарды капиталдаштыруунун пландуу даталары боюнча (Ар 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="000E4BC1" w:rsidRPr="002302AF">
              <w:rPr>
                <w:rFonts w:ascii="Calibri" w:hAnsi="Calibri" w:cs="Calibri"/>
                <w:sz w:val="22"/>
                <w:lang w:val="ky-KG"/>
              </w:rPr>
              <w:t>ч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="000E4BC1" w:rsidRPr="002302AF">
              <w:rPr>
                <w:rFonts w:ascii="Calibri" w:hAnsi="Calibri" w:cs="Calibri"/>
                <w:sz w:val="22"/>
                <w:lang w:val="ky-KG"/>
              </w:rPr>
              <w:t>нч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="000E4BC1" w:rsidRPr="002302AF">
              <w:rPr>
                <w:rFonts w:ascii="Calibri" w:hAnsi="Calibri" w:cs="Calibri"/>
                <w:sz w:val="22"/>
                <w:lang w:val="ky-KG"/>
              </w:rPr>
              <w:t xml:space="preserve"> айдын аманат келишимине кол коюлган датага окшош к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="000E4BC1" w:rsidRPr="002302AF">
              <w:rPr>
                <w:rFonts w:ascii="Calibri" w:hAnsi="Calibri" w:cs="Calibri"/>
                <w:sz w:val="22"/>
                <w:lang w:val="ky-KG"/>
              </w:rPr>
              <w:t>н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="000E4BC1" w:rsidRPr="002302AF">
              <w:rPr>
                <w:rFonts w:ascii="Calibri" w:hAnsi="Calibri" w:cs="Calibri"/>
                <w:sz w:val="22"/>
                <w:lang w:val="ky-KG"/>
              </w:rPr>
              <w:t xml:space="preserve">). </w:t>
            </w:r>
          </w:p>
        </w:tc>
      </w:tr>
      <w:tr w:rsidR="00B95043" w:rsidRPr="002302AF" w:rsidTr="006F42F4">
        <w:trPr>
          <w:cantSplit/>
          <w:trHeight w:val="477"/>
        </w:trPr>
        <w:tc>
          <w:tcPr>
            <w:tcW w:w="3402" w:type="dxa"/>
            <w:vAlign w:val="center"/>
          </w:tcPr>
          <w:p w:rsidR="00B95043" w:rsidRPr="002302AF" w:rsidRDefault="000E4BC1" w:rsidP="0045327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Жарым-жартылай алуу</w:t>
            </w:r>
            <w:r w:rsidR="00B95043" w:rsidRPr="002302AF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B95043" w:rsidRPr="002302AF" w:rsidRDefault="000E4BC1" w:rsidP="0045327F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2302AF">
              <w:rPr>
                <w:rFonts w:ascii="Calibri" w:hAnsi="Calibri" w:cs="Calibri"/>
                <w:sz w:val="22"/>
                <w:lang w:val="ky-KG"/>
              </w:rPr>
              <w:t>Каралбаган</w:t>
            </w:r>
            <w:r w:rsidR="00B95043" w:rsidRPr="002302AF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B95043" w:rsidRPr="002302AF" w:rsidTr="0077142C">
        <w:trPr>
          <w:cantSplit/>
          <w:trHeight w:val="427"/>
        </w:trPr>
        <w:tc>
          <w:tcPr>
            <w:tcW w:w="3402" w:type="dxa"/>
            <w:vAlign w:val="center"/>
          </w:tcPr>
          <w:p w:rsidR="00B95043" w:rsidRPr="002302AF" w:rsidRDefault="000E4BC1" w:rsidP="0045327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Пайыздарды т</w:t>
            </w:r>
            <w:r w:rsidR="00640688" w:rsidRPr="002302AF">
              <w:rPr>
                <w:rFonts w:ascii="Calibri" w:hAnsi="Calibri" w:cs="Calibri"/>
                <w:b/>
                <w:sz w:val="22"/>
                <w:lang w:val="ky-KG"/>
              </w:rPr>
              <w:t>ө</w:t>
            </w: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л</w:t>
            </w:r>
            <w:r w:rsidR="00640688" w:rsidRPr="002302AF">
              <w:rPr>
                <w:rFonts w:ascii="Calibri" w:hAnsi="Calibri" w:cs="Calibri"/>
                <w:b/>
                <w:sz w:val="22"/>
                <w:lang w:val="ky-KG"/>
              </w:rPr>
              <w:t>өө</w:t>
            </w:r>
          </w:p>
        </w:tc>
        <w:tc>
          <w:tcPr>
            <w:tcW w:w="7513" w:type="dxa"/>
            <w:vAlign w:val="center"/>
          </w:tcPr>
          <w:p w:rsidR="00B95043" w:rsidRPr="002302AF" w:rsidRDefault="000E4BC1" w:rsidP="0045327F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2302AF">
              <w:rPr>
                <w:rFonts w:ascii="Calibri" w:hAnsi="Calibri" w:cs="Calibri"/>
                <w:sz w:val="22"/>
                <w:lang w:val="ky-KG"/>
              </w:rPr>
              <w:t>Каралбаган</w:t>
            </w:r>
          </w:p>
        </w:tc>
      </w:tr>
      <w:tr w:rsidR="00B95043" w:rsidRPr="002302AF" w:rsidTr="0077142C">
        <w:trPr>
          <w:cantSplit/>
          <w:trHeight w:val="42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95043" w:rsidRPr="002302AF" w:rsidRDefault="000E4BC1" w:rsidP="0045327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Баштапкы аманатты салуу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B95043" w:rsidRPr="002302AF" w:rsidRDefault="000E4BC1" w:rsidP="0045327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Келишимге кол коюлган к</w:t>
            </w:r>
            <w:r w:rsidR="00640688" w:rsidRPr="002302AF">
              <w:rPr>
                <w:rFonts w:ascii="Calibri" w:hAnsi="Calibri" w:cs="Calibri"/>
                <w:b/>
                <w:sz w:val="22"/>
                <w:lang w:val="ky-KG"/>
              </w:rPr>
              <w:t>ү</w:t>
            </w: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н</w:t>
            </w:r>
            <w:r w:rsidR="00640688" w:rsidRPr="002302AF">
              <w:rPr>
                <w:rFonts w:ascii="Calibri" w:hAnsi="Calibri" w:cs="Calibri"/>
                <w:b/>
                <w:sz w:val="22"/>
                <w:lang w:val="ky-KG"/>
              </w:rPr>
              <w:t>ү</w:t>
            </w:r>
          </w:p>
        </w:tc>
      </w:tr>
      <w:tr w:rsidR="00B95043" w:rsidRPr="002302AF" w:rsidTr="0077142C">
        <w:trPr>
          <w:cantSplit/>
          <w:trHeight w:val="1357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95043" w:rsidRPr="002302AF" w:rsidRDefault="00B95043" w:rsidP="0045327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2302AF">
              <w:rPr>
                <w:rFonts w:ascii="Calibri" w:hAnsi="Calibri" w:cs="Calibri"/>
                <w:b/>
                <w:sz w:val="22"/>
              </w:rPr>
              <w:t xml:space="preserve"> П</w:t>
            </w:r>
            <w:r w:rsidR="000E4BC1" w:rsidRPr="002302AF">
              <w:rPr>
                <w:rFonts w:ascii="Calibri" w:hAnsi="Calibri" w:cs="Calibri"/>
                <w:b/>
                <w:sz w:val="22"/>
                <w:lang w:val="ky-KG"/>
              </w:rPr>
              <w:t>айыз коюмдары</w:t>
            </w:r>
            <w:r w:rsidR="00770F91" w:rsidRPr="002302AF">
              <w:rPr>
                <w:rFonts w:ascii="Calibri" w:hAnsi="Calibri" w:cs="Calibri"/>
                <w:b/>
                <w:sz w:val="22"/>
                <w:lang w:val="ky-KG"/>
              </w:rPr>
              <w:t>*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40"/>
              <w:tblOverlap w:val="never"/>
              <w:tblW w:w="73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1"/>
              <w:gridCol w:w="851"/>
              <w:gridCol w:w="850"/>
              <w:gridCol w:w="992"/>
              <w:gridCol w:w="993"/>
              <w:gridCol w:w="1275"/>
              <w:gridCol w:w="1134"/>
            </w:tblGrid>
            <w:tr w:rsidR="00B95043" w:rsidRPr="002302AF" w:rsidTr="00087A4D">
              <w:trPr>
                <w:trHeight w:val="699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5043" w:rsidRPr="002302AF" w:rsidRDefault="000E4BC1" w:rsidP="00087A4D">
                  <w:pPr>
                    <w:spacing w:after="0" w:line="240" w:lineRule="auto"/>
                    <w:ind w:left="29" w:hanging="142"/>
                    <w:jc w:val="center"/>
                    <w:rPr>
                      <w:rFonts w:ascii="Calibri" w:hAnsi="Calibri" w:cs="Calibri"/>
                      <w:b/>
                      <w:sz w:val="22"/>
                      <w:lang w:val="ky-KG"/>
                    </w:rPr>
                  </w:pPr>
                  <w:r w:rsidRPr="002302AF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М</w:t>
                  </w:r>
                  <w:r w:rsidR="00640688" w:rsidRPr="002302AF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өө</w:t>
                  </w:r>
                  <w:r w:rsidRPr="002302AF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н</w:t>
                  </w:r>
                  <w:r w:rsidR="00640688" w:rsidRPr="002302AF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ө</w:t>
                  </w:r>
                  <w:r w:rsidRPr="002302AF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т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5043" w:rsidRPr="002302AF" w:rsidRDefault="00B96555" w:rsidP="0045327F">
                  <w:pPr>
                    <w:rPr>
                      <w:rFonts w:ascii="Calibri" w:hAnsi="Calibri" w:cs="Calibri"/>
                      <w:b/>
                      <w:sz w:val="22"/>
                    </w:rPr>
                  </w:pPr>
                  <w:r w:rsidRPr="002302AF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3 ай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5043" w:rsidRPr="002302AF" w:rsidRDefault="00B96555" w:rsidP="0045327F">
                  <w:pPr>
                    <w:rPr>
                      <w:rFonts w:ascii="Calibri" w:hAnsi="Calibri" w:cs="Calibri"/>
                      <w:b/>
                      <w:sz w:val="22"/>
                      <w:lang w:val="ky-KG"/>
                    </w:rPr>
                  </w:pPr>
                  <w:r w:rsidRPr="002302AF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6</w:t>
                  </w:r>
                  <w:r w:rsidR="000E4BC1" w:rsidRPr="002302AF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 xml:space="preserve">дан </w:t>
                  </w:r>
                  <w:r w:rsidRPr="002302AF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9</w:t>
                  </w:r>
                  <w:r w:rsidR="000E4BC1" w:rsidRPr="002302AF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 xml:space="preserve"> айга чейин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5043" w:rsidRPr="002302AF" w:rsidRDefault="00B96555" w:rsidP="0045327F">
                  <w:pPr>
                    <w:rPr>
                      <w:rFonts w:ascii="Calibri" w:hAnsi="Calibri" w:cs="Calibri"/>
                      <w:b/>
                      <w:sz w:val="22"/>
                      <w:lang w:val="ky-KG"/>
                    </w:rPr>
                  </w:pPr>
                  <w:r w:rsidRPr="002302AF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9</w:t>
                  </w:r>
                  <w:r w:rsidR="000E4BC1" w:rsidRPr="002302AF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д</w:t>
                  </w:r>
                  <w:r w:rsidRPr="002302AF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а</w:t>
                  </w:r>
                  <w:r w:rsidR="000E4BC1" w:rsidRPr="002302AF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н 1</w:t>
                  </w:r>
                  <w:r w:rsidRPr="002302AF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2</w:t>
                  </w:r>
                  <w:r w:rsidR="000E4BC1" w:rsidRPr="002302AF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 xml:space="preserve"> айга чейин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5043" w:rsidRPr="002302AF" w:rsidRDefault="000E4BC1" w:rsidP="0045327F">
                  <w:pPr>
                    <w:rPr>
                      <w:rFonts w:ascii="Calibri" w:hAnsi="Calibri" w:cs="Calibri"/>
                      <w:b/>
                      <w:sz w:val="22"/>
                      <w:lang w:val="ky-KG"/>
                    </w:rPr>
                  </w:pPr>
                  <w:r w:rsidRPr="002302AF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1</w:t>
                  </w:r>
                  <w:r w:rsidR="00B96555" w:rsidRPr="002302AF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2</w:t>
                  </w:r>
                  <w:r w:rsidRPr="002302AF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 xml:space="preserve">ден </w:t>
                  </w:r>
                  <w:r w:rsidR="00B96555" w:rsidRPr="002302AF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18</w:t>
                  </w:r>
                  <w:r w:rsidRPr="002302AF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 xml:space="preserve"> айга чейин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5043" w:rsidRPr="002302AF" w:rsidRDefault="00B96555" w:rsidP="00087A4D">
                  <w:pPr>
                    <w:spacing w:after="0" w:line="240" w:lineRule="auto"/>
                    <w:rPr>
                      <w:rFonts w:ascii="Calibri" w:hAnsi="Calibri" w:cs="Calibri"/>
                      <w:b/>
                      <w:sz w:val="22"/>
                    </w:rPr>
                  </w:pPr>
                  <w:r w:rsidRPr="002302AF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18ден</w:t>
                  </w:r>
                  <w:r w:rsidR="000E4BC1" w:rsidRPr="002302AF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 xml:space="preserve"> </w:t>
                  </w:r>
                  <w:r w:rsidRPr="002302AF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24</w:t>
                  </w:r>
                  <w:r w:rsidR="000E4BC1" w:rsidRPr="002302AF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 xml:space="preserve"> айга чейин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5043" w:rsidRPr="002302AF" w:rsidRDefault="00B96555" w:rsidP="00087A4D">
                  <w:pPr>
                    <w:spacing w:after="0" w:line="240" w:lineRule="auto"/>
                    <w:rPr>
                      <w:rFonts w:ascii="Calibri" w:hAnsi="Calibri" w:cs="Calibri"/>
                      <w:b/>
                      <w:sz w:val="22"/>
                    </w:rPr>
                  </w:pPr>
                  <w:r w:rsidRPr="002302AF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>24</w:t>
                  </w:r>
                  <w:r w:rsidR="000E4BC1" w:rsidRPr="002302AF">
                    <w:rPr>
                      <w:rFonts w:ascii="Calibri" w:hAnsi="Calibri" w:cs="Calibri"/>
                      <w:b/>
                      <w:sz w:val="22"/>
                      <w:lang w:val="ky-KG"/>
                    </w:rPr>
                    <w:t xml:space="preserve"> айдан 36 айга чейин</w:t>
                  </w:r>
                </w:p>
              </w:tc>
            </w:tr>
            <w:tr w:rsidR="004B028A" w:rsidRPr="002302AF" w:rsidTr="00F26620">
              <w:trPr>
                <w:trHeight w:val="325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028A" w:rsidRPr="00F0278B" w:rsidRDefault="004B028A" w:rsidP="004B028A">
                  <w:pPr>
                    <w:spacing w:before="40" w:after="40"/>
                    <w:rPr>
                      <w:rFonts w:ascii="Calibri" w:hAnsi="Calibri"/>
                      <w:sz w:val="22"/>
                    </w:rPr>
                  </w:pPr>
                  <w:r w:rsidRPr="00F0278B">
                    <w:rPr>
                      <w:rFonts w:ascii="Calibri" w:hAnsi="Calibri"/>
                      <w:sz w:val="22"/>
                    </w:rPr>
                    <w:t>KGS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8A" w:rsidRPr="00FF6A5B" w:rsidRDefault="004B028A" w:rsidP="004B028A">
                  <w:pPr>
                    <w:spacing w:before="40" w:after="40" w:line="240" w:lineRule="exact"/>
                    <w:jc w:val="center"/>
                    <w:rPr>
                      <w:rFonts w:ascii="Calibri" w:hAnsi="Calibri"/>
                      <w:sz w:val="22"/>
                    </w:rPr>
                  </w:pPr>
                  <w:r w:rsidRPr="00FF6A5B">
                    <w:rPr>
                      <w:rFonts w:ascii="Calibri" w:hAnsi="Calibri"/>
                      <w:sz w:val="22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028A" w:rsidRPr="00FF6A5B" w:rsidRDefault="004B028A" w:rsidP="004B028A">
                  <w:pPr>
                    <w:spacing w:before="40" w:after="40" w:line="240" w:lineRule="exact"/>
                    <w:jc w:val="center"/>
                    <w:rPr>
                      <w:rFonts w:ascii="Calibri" w:hAnsi="Calibri"/>
                      <w:sz w:val="22"/>
                    </w:rPr>
                  </w:pPr>
                  <w:r w:rsidRPr="00FF6A5B">
                    <w:rPr>
                      <w:rFonts w:ascii="Calibri" w:hAnsi="Calibri"/>
                      <w:sz w:val="22"/>
                    </w:rPr>
                    <w:t>5,5%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028A" w:rsidRPr="00FF6A5B" w:rsidRDefault="004B028A" w:rsidP="004B028A">
                  <w:pPr>
                    <w:spacing w:before="40" w:after="40" w:line="240" w:lineRule="exact"/>
                    <w:jc w:val="center"/>
                    <w:rPr>
                      <w:rFonts w:ascii="Calibri" w:hAnsi="Calibri"/>
                      <w:sz w:val="22"/>
                    </w:rPr>
                  </w:pPr>
                  <w:r w:rsidRPr="00FF6A5B">
                    <w:rPr>
                      <w:rFonts w:ascii="Calibri" w:hAnsi="Calibri"/>
                      <w:sz w:val="22"/>
                    </w:rPr>
                    <w:t>6,5%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028A" w:rsidRPr="00FF6A5B" w:rsidRDefault="004B028A" w:rsidP="004B028A">
                  <w:pPr>
                    <w:spacing w:before="40" w:after="40" w:line="240" w:lineRule="exact"/>
                    <w:jc w:val="center"/>
                    <w:rPr>
                      <w:rFonts w:ascii="Calibri" w:hAnsi="Calibri"/>
                      <w:sz w:val="22"/>
                    </w:rPr>
                  </w:pPr>
                  <w:r w:rsidRPr="00FF6A5B">
                    <w:rPr>
                      <w:rFonts w:ascii="Calibri" w:hAnsi="Calibri"/>
                      <w:sz w:val="22"/>
                    </w:rPr>
                    <w:t>9,5%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028A" w:rsidRPr="00FF6A5B" w:rsidRDefault="004B028A" w:rsidP="004B028A">
                  <w:pPr>
                    <w:spacing w:before="40" w:after="40" w:line="240" w:lineRule="exact"/>
                    <w:jc w:val="center"/>
                    <w:rPr>
                      <w:rFonts w:ascii="Calibri" w:hAnsi="Calibri"/>
                      <w:sz w:val="22"/>
                    </w:rPr>
                  </w:pPr>
                  <w:r w:rsidRPr="00FF6A5B">
                    <w:rPr>
                      <w:rFonts w:ascii="Calibri" w:hAnsi="Calibri"/>
                      <w:sz w:val="22"/>
                    </w:rPr>
                    <w:t>10,0%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028A" w:rsidRPr="00FF6A5B" w:rsidRDefault="004B028A" w:rsidP="004B028A">
                  <w:pPr>
                    <w:spacing w:before="40" w:after="40" w:line="240" w:lineRule="exact"/>
                    <w:jc w:val="center"/>
                    <w:rPr>
                      <w:rFonts w:ascii="Calibri" w:hAnsi="Calibri"/>
                      <w:sz w:val="22"/>
                    </w:rPr>
                  </w:pPr>
                  <w:r w:rsidRPr="00FF6A5B">
                    <w:rPr>
                      <w:rFonts w:ascii="Calibri" w:hAnsi="Calibri"/>
                      <w:sz w:val="22"/>
                    </w:rPr>
                    <w:t>10,5%</w:t>
                  </w:r>
                </w:p>
              </w:tc>
            </w:tr>
            <w:tr w:rsidR="004B028A" w:rsidRPr="002302AF" w:rsidTr="00F26620">
              <w:trPr>
                <w:trHeight w:val="325"/>
              </w:trPr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028A" w:rsidRPr="002302AF" w:rsidRDefault="004B028A" w:rsidP="004B028A">
                  <w:pPr>
                    <w:spacing w:before="40" w:after="40"/>
                    <w:rPr>
                      <w:rFonts w:ascii="Calibri" w:hAnsi="Calibri" w:cs="Calibri"/>
                      <w:sz w:val="22"/>
                      <w:lang w:val="en-US"/>
                    </w:rPr>
                  </w:pPr>
                  <w:r w:rsidRPr="002302AF">
                    <w:rPr>
                      <w:rFonts w:ascii="Calibri" w:hAnsi="Calibri" w:cs="Calibri"/>
                      <w:sz w:val="22"/>
                      <w:lang w:val="en-US"/>
                    </w:rPr>
                    <w:t>RUB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28A" w:rsidRPr="00FF6A5B" w:rsidRDefault="004B028A" w:rsidP="004B028A">
                  <w:pPr>
                    <w:spacing w:before="40" w:after="40" w:line="240" w:lineRule="exact"/>
                    <w:jc w:val="center"/>
                    <w:rPr>
                      <w:rFonts w:ascii="Calibri" w:hAnsi="Calibri"/>
                      <w:sz w:val="22"/>
                      <w:lang w:val="en-US"/>
                    </w:rPr>
                  </w:pPr>
                  <w:r w:rsidRPr="00FF6A5B">
                    <w:rPr>
                      <w:rFonts w:ascii="Calibri" w:hAnsi="Calibri"/>
                      <w:sz w:val="22"/>
                      <w:lang w:val="ky-KG"/>
                    </w:rPr>
                    <w:t>2,00</w:t>
                  </w:r>
                  <w:r w:rsidRPr="00FF6A5B">
                    <w:rPr>
                      <w:rFonts w:ascii="Calibri" w:hAnsi="Calibri"/>
                      <w:sz w:val="22"/>
                      <w:lang w:val="en-US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028A" w:rsidRPr="00FF6A5B" w:rsidRDefault="004B028A" w:rsidP="004B028A">
                  <w:pPr>
                    <w:spacing w:before="40" w:after="40" w:line="240" w:lineRule="exact"/>
                    <w:jc w:val="center"/>
                    <w:rPr>
                      <w:rFonts w:ascii="Calibri" w:hAnsi="Calibri"/>
                      <w:sz w:val="22"/>
                    </w:rPr>
                  </w:pPr>
                  <w:r w:rsidRPr="00FF6A5B">
                    <w:rPr>
                      <w:rFonts w:ascii="Calibri" w:hAnsi="Calibri"/>
                      <w:sz w:val="22"/>
                      <w:lang w:val="ky-KG"/>
                    </w:rPr>
                    <w:t>3,00</w:t>
                  </w:r>
                  <w:r w:rsidRPr="00FF6A5B">
                    <w:rPr>
                      <w:rFonts w:ascii="Calibri" w:hAnsi="Calibri"/>
                      <w:sz w:val="22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028A" w:rsidRPr="00FF6A5B" w:rsidRDefault="004B028A" w:rsidP="004B028A">
                  <w:pPr>
                    <w:spacing w:before="40" w:after="40" w:line="240" w:lineRule="exact"/>
                    <w:jc w:val="center"/>
                    <w:rPr>
                      <w:rFonts w:ascii="Calibri" w:hAnsi="Calibri"/>
                      <w:sz w:val="22"/>
                    </w:rPr>
                  </w:pPr>
                  <w:r w:rsidRPr="00FF6A5B">
                    <w:rPr>
                      <w:rFonts w:ascii="Calibri" w:hAnsi="Calibri"/>
                      <w:sz w:val="22"/>
                      <w:lang w:val="ky-KG"/>
                    </w:rPr>
                    <w:t>3,50</w:t>
                  </w:r>
                  <w:r w:rsidRPr="00FF6A5B">
                    <w:rPr>
                      <w:rFonts w:ascii="Calibri" w:hAnsi="Calibri"/>
                      <w:sz w:val="22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028A" w:rsidRPr="00FF6A5B" w:rsidRDefault="004B028A" w:rsidP="004B028A">
                  <w:pPr>
                    <w:spacing w:before="40" w:after="40" w:line="240" w:lineRule="exact"/>
                    <w:jc w:val="center"/>
                    <w:rPr>
                      <w:rFonts w:ascii="Calibri" w:hAnsi="Calibri"/>
                      <w:sz w:val="22"/>
                    </w:rPr>
                  </w:pPr>
                  <w:r w:rsidRPr="00FF6A5B">
                    <w:rPr>
                      <w:rFonts w:ascii="Calibri" w:hAnsi="Calibri"/>
                      <w:sz w:val="22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028A" w:rsidRPr="00FF6A5B" w:rsidRDefault="004B028A" w:rsidP="004B028A">
                  <w:pPr>
                    <w:spacing w:before="40" w:after="40" w:line="240" w:lineRule="exact"/>
                    <w:jc w:val="center"/>
                    <w:rPr>
                      <w:rFonts w:ascii="Calibri" w:hAnsi="Calibri"/>
                      <w:sz w:val="22"/>
                    </w:rPr>
                  </w:pPr>
                  <w:r w:rsidRPr="00FF6A5B">
                    <w:rPr>
                      <w:rFonts w:ascii="Calibri" w:hAnsi="Calibri"/>
                      <w:sz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028A" w:rsidRPr="00FF6A5B" w:rsidRDefault="004B028A" w:rsidP="004B028A">
                  <w:pPr>
                    <w:spacing w:before="40" w:after="40" w:line="240" w:lineRule="exact"/>
                    <w:jc w:val="center"/>
                    <w:rPr>
                      <w:rFonts w:ascii="Calibri" w:hAnsi="Calibri"/>
                      <w:sz w:val="22"/>
                    </w:rPr>
                  </w:pPr>
                  <w:r w:rsidRPr="00FF6A5B">
                    <w:rPr>
                      <w:rFonts w:ascii="Calibri" w:hAnsi="Calibri"/>
                      <w:sz w:val="22"/>
                    </w:rPr>
                    <w:t>-</w:t>
                  </w:r>
                </w:p>
              </w:tc>
            </w:tr>
          </w:tbl>
          <w:p w:rsidR="00B95043" w:rsidRPr="002302AF" w:rsidRDefault="00B95043" w:rsidP="0045327F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B95043" w:rsidRPr="001757E5" w:rsidTr="006F42F4">
        <w:trPr>
          <w:cantSplit/>
          <w:trHeight w:val="3107"/>
        </w:trPr>
        <w:tc>
          <w:tcPr>
            <w:tcW w:w="3402" w:type="dxa"/>
            <w:vAlign w:val="center"/>
          </w:tcPr>
          <w:p w:rsidR="00B95043" w:rsidRPr="002302AF" w:rsidRDefault="00C613F8" w:rsidP="0045327F">
            <w:pPr>
              <w:spacing w:after="0" w:line="240" w:lineRule="auto"/>
              <w:rPr>
                <w:rFonts w:ascii="Calibri" w:hAnsi="Calibri" w:cs="Calibri"/>
                <w:b/>
                <w:sz w:val="22"/>
                <w:lang w:val="ky-KG"/>
              </w:rPr>
            </w:pP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М</w:t>
            </w:r>
            <w:r w:rsidR="00640688" w:rsidRPr="002302AF">
              <w:rPr>
                <w:rFonts w:ascii="Calibri" w:hAnsi="Calibri" w:cs="Calibri"/>
                <w:b/>
                <w:sz w:val="22"/>
                <w:lang w:val="ky-KG"/>
              </w:rPr>
              <w:t>өө</w:t>
            </w: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н</w:t>
            </w:r>
            <w:r w:rsidR="00640688" w:rsidRPr="002302AF">
              <w:rPr>
                <w:rFonts w:ascii="Calibri" w:hAnsi="Calibri" w:cs="Calibri"/>
                <w:b/>
                <w:sz w:val="22"/>
                <w:lang w:val="ky-KG"/>
              </w:rPr>
              <w:t>ө</w:t>
            </w: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т</w:t>
            </w:r>
            <w:r w:rsidR="00640688" w:rsidRPr="002302AF">
              <w:rPr>
                <w:rFonts w:ascii="Calibri" w:hAnsi="Calibri" w:cs="Calibri"/>
                <w:b/>
                <w:sz w:val="22"/>
                <w:lang w:val="ky-KG"/>
              </w:rPr>
              <w:t>ү</w:t>
            </w: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н</w:t>
            </w:r>
            <w:r w:rsidR="00640688" w:rsidRPr="002302AF">
              <w:rPr>
                <w:rFonts w:ascii="Calibri" w:hAnsi="Calibri" w:cs="Calibri"/>
                <w:b/>
                <w:sz w:val="22"/>
                <w:lang w:val="ky-KG"/>
              </w:rPr>
              <w:t>ө</w:t>
            </w: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н мурда бузуу</w:t>
            </w:r>
          </w:p>
        </w:tc>
        <w:tc>
          <w:tcPr>
            <w:tcW w:w="7513" w:type="dxa"/>
            <w:vAlign w:val="center"/>
          </w:tcPr>
          <w:p w:rsidR="00B95043" w:rsidRPr="002302AF" w:rsidRDefault="00B95043" w:rsidP="0045327F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lang w:val="ky-KG"/>
              </w:rPr>
            </w:pPr>
            <w:r w:rsidRPr="002302AF">
              <w:rPr>
                <w:rFonts w:ascii="Calibri" w:hAnsi="Calibri" w:cs="Calibri"/>
                <w:sz w:val="22"/>
                <w:lang w:val="ky-KG"/>
              </w:rPr>
              <w:t>М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өө</w:t>
            </w:r>
            <w:r w:rsidR="000E4BC1" w:rsidRPr="002302AF">
              <w:rPr>
                <w:rFonts w:ascii="Calibri" w:hAnsi="Calibri" w:cs="Calibri"/>
                <w:sz w:val="22"/>
                <w:lang w:val="ky-KG"/>
              </w:rPr>
              <w:t>н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="000E4BC1" w:rsidRPr="002302AF">
              <w:rPr>
                <w:rFonts w:ascii="Calibri" w:hAnsi="Calibri" w:cs="Calibri"/>
                <w:sz w:val="22"/>
                <w:lang w:val="ky-KG"/>
              </w:rPr>
              <w:t>т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="000E4BC1" w:rsidRPr="002302AF">
              <w:rPr>
                <w:rFonts w:ascii="Calibri" w:hAnsi="Calibri" w:cs="Calibri"/>
                <w:sz w:val="22"/>
                <w:lang w:val="ky-KG"/>
              </w:rPr>
              <w:t>н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="000E4BC1" w:rsidRPr="002302AF">
              <w:rPr>
                <w:rFonts w:ascii="Calibri" w:hAnsi="Calibri" w:cs="Calibri"/>
                <w:sz w:val="22"/>
                <w:lang w:val="ky-KG"/>
              </w:rPr>
              <w:t xml:space="preserve">н мурда </w:t>
            </w:r>
            <w:r w:rsidR="00C613F8" w:rsidRPr="002302AF">
              <w:rPr>
                <w:rFonts w:ascii="Calibri" w:hAnsi="Calibri" w:cs="Calibri"/>
                <w:sz w:val="22"/>
                <w:lang w:val="ky-KG"/>
              </w:rPr>
              <w:t>бузуу м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="00C613F8" w:rsidRPr="002302AF">
              <w:rPr>
                <w:rFonts w:ascii="Calibri" w:hAnsi="Calibri" w:cs="Calibri"/>
                <w:sz w:val="22"/>
                <w:lang w:val="ky-KG"/>
              </w:rPr>
              <w:t>мк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="00C613F8" w:rsidRPr="002302AF">
              <w:rPr>
                <w:rFonts w:ascii="Calibri" w:hAnsi="Calibri" w:cs="Calibri"/>
                <w:sz w:val="22"/>
                <w:lang w:val="ky-KG"/>
              </w:rPr>
              <w:t>нд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="00C613F8" w:rsidRPr="002302AF">
              <w:rPr>
                <w:rFonts w:ascii="Calibri" w:hAnsi="Calibri" w:cs="Calibri"/>
                <w:sz w:val="22"/>
                <w:lang w:val="ky-KG"/>
              </w:rPr>
              <w:t>г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="00C613F8" w:rsidRPr="002302AF">
              <w:rPr>
                <w:rFonts w:ascii="Calibri" w:hAnsi="Calibri" w:cs="Calibri"/>
                <w:sz w:val="22"/>
                <w:lang w:val="ky-KG"/>
              </w:rPr>
              <w:t xml:space="preserve"> менен аманаттын м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аксимал</w:t>
            </w:r>
            <w:r w:rsidR="00C613F8" w:rsidRPr="002302AF">
              <w:rPr>
                <w:rFonts w:ascii="Calibri" w:hAnsi="Calibri" w:cs="Calibri"/>
                <w:sz w:val="22"/>
                <w:lang w:val="ky-KG"/>
              </w:rPr>
              <w:t>дуу м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өө</w:t>
            </w:r>
            <w:r w:rsidR="00C613F8" w:rsidRPr="002302AF">
              <w:rPr>
                <w:rFonts w:ascii="Calibri" w:hAnsi="Calibri" w:cs="Calibri"/>
                <w:sz w:val="22"/>
                <w:lang w:val="ky-KG"/>
              </w:rPr>
              <w:t>н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="00C613F8" w:rsidRPr="002302AF">
              <w:rPr>
                <w:rFonts w:ascii="Calibri" w:hAnsi="Calibri" w:cs="Calibri"/>
                <w:sz w:val="22"/>
                <w:lang w:val="ky-KG"/>
              </w:rPr>
              <w:t>т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 xml:space="preserve"> 36 </w:t>
            </w:r>
            <w:r w:rsidR="00C613F8" w:rsidRPr="002302AF">
              <w:rPr>
                <w:rFonts w:ascii="Calibri" w:hAnsi="Calibri" w:cs="Calibri"/>
                <w:sz w:val="22"/>
                <w:lang w:val="ky-KG"/>
              </w:rPr>
              <w:t>ай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 xml:space="preserve">. </w:t>
            </w:r>
            <w:r w:rsidR="00C613F8" w:rsidRPr="002302AF">
              <w:rPr>
                <w:rFonts w:ascii="Calibri" w:hAnsi="Calibri" w:cs="Calibri"/>
                <w:sz w:val="22"/>
                <w:lang w:val="ky-KG"/>
              </w:rPr>
              <w:t>Аманатчынын демилгеси менен м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өө</w:t>
            </w:r>
            <w:r w:rsidR="00C613F8" w:rsidRPr="002302AF">
              <w:rPr>
                <w:rFonts w:ascii="Calibri" w:hAnsi="Calibri" w:cs="Calibri"/>
                <w:sz w:val="22"/>
                <w:lang w:val="ky-KG"/>
              </w:rPr>
              <w:t>н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="00C613F8" w:rsidRPr="002302AF">
              <w:rPr>
                <w:rFonts w:ascii="Calibri" w:hAnsi="Calibri" w:cs="Calibri"/>
                <w:sz w:val="22"/>
                <w:lang w:val="ky-KG"/>
              </w:rPr>
              <w:t>т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="00C613F8" w:rsidRPr="002302AF">
              <w:rPr>
                <w:rFonts w:ascii="Calibri" w:hAnsi="Calibri" w:cs="Calibri"/>
                <w:sz w:val="22"/>
                <w:lang w:val="ky-KG"/>
              </w:rPr>
              <w:t>н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="00C613F8" w:rsidRPr="002302AF">
              <w:rPr>
                <w:rFonts w:ascii="Calibri" w:hAnsi="Calibri" w:cs="Calibri"/>
                <w:sz w:val="22"/>
                <w:lang w:val="ky-KG"/>
              </w:rPr>
              <w:t>н мурда бузулган учурда пайыздар кайра эсептелет жана пайыздарды капиталдаштыруу шарттары колдонулуусуз, бирок т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="00C613F8" w:rsidRPr="002302AF">
              <w:rPr>
                <w:rFonts w:ascii="Calibri" w:hAnsi="Calibri" w:cs="Calibri"/>
                <w:sz w:val="22"/>
                <w:lang w:val="ky-KG"/>
              </w:rPr>
              <w:t>м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="00C613F8" w:rsidRPr="002302AF">
              <w:rPr>
                <w:rFonts w:ascii="Calibri" w:hAnsi="Calibri" w:cs="Calibri"/>
                <w:sz w:val="22"/>
                <w:lang w:val="ky-KG"/>
              </w:rPr>
              <w:t>нк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="00C613F8" w:rsidRPr="002302AF">
              <w:rPr>
                <w:rFonts w:ascii="Calibri" w:hAnsi="Calibri" w:cs="Calibri"/>
                <w:sz w:val="22"/>
                <w:lang w:val="ky-KG"/>
              </w:rPr>
              <w:t xml:space="preserve"> схема боюнча т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="00C613F8" w:rsidRPr="002302AF">
              <w:rPr>
                <w:rFonts w:ascii="Calibri" w:hAnsi="Calibri" w:cs="Calibri"/>
                <w:sz w:val="22"/>
                <w:lang w:val="ky-KG"/>
              </w:rPr>
              <w:t>л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="00C613F8" w:rsidRPr="002302AF">
              <w:rPr>
                <w:rFonts w:ascii="Calibri" w:hAnsi="Calibri" w:cs="Calibri"/>
                <w:sz w:val="22"/>
                <w:lang w:val="ky-KG"/>
              </w:rPr>
              <w:t>н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="00C613F8" w:rsidRPr="002302AF">
              <w:rPr>
                <w:rFonts w:ascii="Calibri" w:hAnsi="Calibri" w:cs="Calibri"/>
                <w:sz w:val="22"/>
                <w:lang w:val="ky-KG"/>
              </w:rPr>
              <w:t>т:</w:t>
            </w:r>
          </w:p>
          <w:p w:rsidR="00B95043" w:rsidRPr="002302AF" w:rsidRDefault="00C613F8" w:rsidP="0045327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 w:cs="Calibri"/>
                <w:sz w:val="22"/>
                <w:lang w:val="ky-KG"/>
              </w:rPr>
            </w:pPr>
            <w:r w:rsidRPr="002302AF">
              <w:rPr>
                <w:rFonts w:ascii="Calibri" w:hAnsi="Calibri" w:cs="Calibri"/>
                <w:sz w:val="22"/>
                <w:lang w:val="ky-KG"/>
              </w:rPr>
              <w:t>12 ай м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өө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н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т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нд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 xml:space="preserve"> депозитти м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өө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н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т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н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н мурда буз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уу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да (каражаттардын эсепте турган м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өө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н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т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 xml:space="preserve"> 12 айды жана к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б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р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өө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кт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 xml:space="preserve"> т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зг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нд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) – 3% пайыздык коюм боюнча кайра эсепт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өө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 xml:space="preserve">;  </w:t>
            </w:r>
          </w:p>
          <w:p w:rsidR="00B95043" w:rsidRPr="002302AF" w:rsidRDefault="00C613F8" w:rsidP="0045327F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  <w:sz w:val="22"/>
                <w:lang w:val="ky-KG"/>
              </w:rPr>
            </w:pPr>
            <w:r w:rsidRPr="002302AF">
              <w:rPr>
                <w:rFonts w:ascii="Calibri" w:hAnsi="Calibri" w:cs="Calibri"/>
                <w:sz w:val="22"/>
                <w:lang w:val="ky-KG"/>
              </w:rPr>
              <w:t>12 айга чейин депозитти м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өө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н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т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н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н мурда бузууда – 0% пайыздык коюм боюнча кайра эсепт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өө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 xml:space="preserve">; </w:t>
            </w:r>
          </w:p>
          <w:p w:rsidR="00B95043" w:rsidRPr="002302AF" w:rsidRDefault="00C613F8" w:rsidP="0045327F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  <w:sz w:val="22"/>
                <w:lang w:val="ky-KG"/>
              </w:rPr>
            </w:pPr>
            <w:r w:rsidRPr="002302AF">
              <w:rPr>
                <w:rFonts w:ascii="Calibri" w:hAnsi="Calibri" w:cs="Calibri"/>
                <w:sz w:val="22"/>
                <w:lang w:val="ky-KG"/>
              </w:rPr>
              <w:t>м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өө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н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т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н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н мурда бузууда т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л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н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үү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ч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 xml:space="preserve"> пайыздык коюм бузуу учуруна карата банк тарабынан талап кылганга чейин аманаттар (депозиттер) боюнча аракеттеги пайыздык коюмдардын 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лч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м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н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н т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м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>н боло албайт.</w:t>
            </w:r>
          </w:p>
        </w:tc>
      </w:tr>
      <w:tr w:rsidR="00B95043" w:rsidRPr="001757E5" w:rsidTr="008C6E3E">
        <w:trPr>
          <w:cantSplit/>
          <w:trHeight w:val="1763"/>
        </w:trPr>
        <w:tc>
          <w:tcPr>
            <w:tcW w:w="3402" w:type="dxa"/>
            <w:vAlign w:val="center"/>
          </w:tcPr>
          <w:p w:rsidR="00B95043" w:rsidRPr="002302AF" w:rsidRDefault="00C613F8" w:rsidP="0045327F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Кошумча маалыматтар</w:t>
            </w:r>
            <w:r w:rsidR="00B95043" w:rsidRPr="002302AF"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B95043" w:rsidRPr="002302AF" w:rsidRDefault="00C613F8" w:rsidP="00C31AE0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lang w:val="ky-KG"/>
              </w:rPr>
            </w:pPr>
            <w:r w:rsidRPr="002302AF">
              <w:rPr>
                <w:rFonts w:ascii="Calibri" w:hAnsi="Calibri" w:cs="Calibri"/>
                <w:sz w:val="22"/>
                <w:lang w:val="ky-KG"/>
              </w:rPr>
              <w:t xml:space="preserve">Келишим боюнча автоматтык </w:t>
            </w:r>
            <w:r w:rsidR="007B7C39" w:rsidRPr="002302AF">
              <w:rPr>
                <w:rFonts w:ascii="Calibri" w:hAnsi="Calibri" w:cs="Calibri"/>
                <w:sz w:val="22"/>
                <w:lang w:val="ky-KG"/>
              </w:rPr>
              <w:t>узартуу</w:t>
            </w:r>
            <w:r w:rsidR="00B95043" w:rsidRPr="002302AF">
              <w:rPr>
                <w:rFonts w:ascii="Calibri" w:hAnsi="Calibri" w:cs="Calibri"/>
                <w:sz w:val="22"/>
              </w:rPr>
              <w:t xml:space="preserve"> 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 xml:space="preserve">каралбаган. Эгерде аманатчы </w:t>
            </w:r>
            <w:r w:rsidR="007B7C39" w:rsidRPr="002302AF">
              <w:rPr>
                <w:rFonts w:ascii="Calibri" w:hAnsi="Calibri" w:cs="Calibri"/>
                <w:sz w:val="22"/>
                <w:lang w:val="ky-KG"/>
              </w:rPr>
              <w:t>келишимди узарткысы келсе, анда ал аманатты (депозитти) жабуу датасына чейин 3 к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="007B7C39" w:rsidRPr="002302AF">
              <w:rPr>
                <w:rFonts w:ascii="Calibri" w:hAnsi="Calibri" w:cs="Calibri"/>
                <w:sz w:val="22"/>
                <w:lang w:val="ky-KG"/>
              </w:rPr>
              <w:t>нд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="007B7C39" w:rsidRPr="002302AF">
              <w:rPr>
                <w:rFonts w:ascii="Calibri" w:hAnsi="Calibri" w:cs="Calibri"/>
                <w:sz w:val="22"/>
                <w:lang w:val="ky-KG"/>
              </w:rPr>
              <w:t xml:space="preserve"> Банкты эскертип жана келишимдин жа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ң</w:t>
            </w:r>
            <w:r w:rsidR="007B7C39" w:rsidRPr="002302AF">
              <w:rPr>
                <w:rFonts w:ascii="Calibri" w:hAnsi="Calibri" w:cs="Calibri"/>
                <w:sz w:val="22"/>
                <w:lang w:val="ky-KG"/>
              </w:rPr>
              <w:t xml:space="preserve">ы шарттарын макулдашууга тийиш. </w:t>
            </w:r>
            <w:r w:rsidR="00B95043" w:rsidRPr="002302AF">
              <w:rPr>
                <w:rFonts w:ascii="Calibri" w:hAnsi="Calibri" w:cs="Calibri"/>
                <w:sz w:val="22"/>
                <w:lang w:val="ky-KG"/>
              </w:rPr>
              <w:t xml:space="preserve"> </w:t>
            </w:r>
            <w:r w:rsidR="007B7C39" w:rsidRPr="002302AF">
              <w:rPr>
                <w:rFonts w:ascii="Calibri" w:hAnsi="Calibri" w:cs="Calibri"/>
                <w:sz w:val="22"/>
                <w:lang w:val="ky-KG"/>
              </w:rPr>
              <w:t>Аманатты (депозитти) жабуу к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="007B7C39" w:rsidRPr="002302AF">
              <w:rPr>
                <w:rFonts w:ascii="Calibri" w:hAnsi="Calibri" w:cs="Calibri"/>
                <w:sz w:val="22"/>
                <w:lang w:val="ky-KG"/>
              </w:rPr>
              <w:t>н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="007B7C39" w:rsidRPr="002302AF">
              <w:rPr>
                <w:rFonts w:ascii="Calibri" w:hAnsi="Calibri" w:cs="Calibri"/>
                <w:sz w:val="22"/>
                <w:lang w:val="ky-KG"/>
              </w:rPr>
              <w:t>нд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="007B7C39" w:rsidRPr="002302AF">
              <w:rPr>
                <w:rFonts w:ascii="Calibri" w:hAnsi="Calibri" w:cs="Calibri"/>
                <w:sz w:val="22"/>
                <w:lang w:val="ky-KG"/>
              </w:rPr>
              <w:t xml:space="preserve"> аманатчы келбеген жана аманаттын (депозиттин) суммасын талап кылбаган учурда, Банк ошол эле к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="007B7C39" w:rsidRPr="002302AF">
              <w:rPr>
                <w:rFonts w:ascii="Calibri" w:hAnsi="Calibri" w:cs="Calibri"/>
                <w:sz w:val="22"/>
                <w:lang w:val="ky-KG"/>
              </w:rPr>
              <w:t>н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="007B7C39" w:rsidRPr="002302AF">
              <w:rPr>
                <w:rFonts w:ascii="Calibri" w:hAnsi="Calibri" w:cs="Calibri"/>
                <w:sz w:val="22"/>
                <w:lang w:val="ky-KG"/>
              </w:rPr>
              <w:t xml:space="preserve"> аманаттын (депозиттин) суммасын жана эсептелген пайыздарды Аманатчынын талап кылганга чейин эсебине которот. </w:t>
            </w:r>
          </w:p>
        </w:tc>
      </w:tr>
      <w:tr w:rsidR="00B95043" w:rsidRPr="001757E5" w:rsidTr="008C6E3E">
        <w:trPr>
          <w:cantSplit/>
          <w:trHeight w:val="504"/>
        </w:trPr>
        <w:tc>
          <w:tcPr>
            <w:tcW w:w="3402" w:type="dxa"/>
            <w:vAlign w:val="center"/>
          </w:tcPr>
          <w:p w:rsidR="00B95043" w:rsidRPr="002302AF" w:rsidRDefault="007B7C39">
            <w:pPr>
              <w:spacing w:after="0"/>
              <w:rPr>
                <w:rFonts w:ascii="Calibri" w:hAnsi="Calibri" w:cs="Calibri"/>
                <w:b/>
                <w:sz w:val="22"/>
                <w:lang w:val="ky-KG"/>
              </w:rPr>
            </w:pPr>
            <w:r w:rsidRPr="002302AF">
              <w:rPr>
                <w:rFonts w:ascii="Calibri" w:hAnsi="Calibri" w:cs="Calibri"/>
                <w:b/>
                <w:sz w:val="22"/>
                <w:lang w:val="ky-KG"/>
              </w:rPr>
              <w:t>Башка шарттар</w:t>
            </w:r>
          </w:p>
        </w:tc>
        <w:tc>
          <w:tcPr>
            <w:tcW w:w="7513" w:type="dxa"/>
            <w:vAlign w:val="center"/>
          </w:tcPr>
          <w:p w:rsidR="00B95043" w:rsidRPr="002302AF" w:rsidRDefault="00B95043" w:rsidP="008C6E3E">
            <w:pPr>
              <w:spacing w:after="0" w:line="240" w:lineRule="auto"/>
              <w:jc w:val="both"/>
              <w:rPr>
                <w:rFonts w:ascii="Calibri" w:hAnsi="Calibri" w:cs="Calibri"/>
                <w:sz w:val="22"/>
                <w:lang w:val="ky-KG"/>
              </w:rPr>
            </w:pPr>
            <w:r w:rsidRPr="002302AF">
              <w:rPr>
                <w:rFonts w:ascii="Calibri" w:hAnsi="Calibri" w:cs="Calibri"/>
                <w:sz w:val="22"/>
                <w:lang w:val="ky-KG"/>
              </w:rPr>
              <w:t>«Компаньон</w:t>
            </w:r>
            <w:r w:rsidR="007B7C39" w:rsidRPr="002302AF">
              <w:rPr>
                <w:rFonts w:ascii="Calibri" w:hAnsi="Calibri" w:cs="Calibri"/>
                <w:sz w:val="22"/>
                <w:lang w:val="ky-KG"/>
              </w:rPr>
              <w:t xml:space="preserve"> Банкы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 xml:space="preserve">» 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 xml:space="preserve">ЖАКы </w:t>
            </w:r>
            <w:r w:rsidR="007B7C39" w:rsidRPr="002302AF">
              <w:rPr>
                <w:rFonts w:ascii="Calibri" w:hAnsi="Calibri" w:cs="Calibri"/>
                <w:sz w:val="22"/>
                <w:lang w:val="ky-KG"/>
              </w:rPr>
              <w:t>депозиттин м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өө</w:t>
            </w:r>
            <w:r w:rsidR="007B7C39" w:rsidRPr="002302AF">
              <w:rPr>
                <w:rFonts w:ascii="Calibri" w:hAnsi="Calibri" w:cs="Calibri"/>
                <w:sz w:val="22"/>
                <w:lang w:val="ky-KG"/>
              </w:rPr>
              <w:t>н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="007B7C39" w:rsidRPr="002302AF">
              <w:rPr>
                <w:rFonts w:ascii="Calibri" w:hAnsi="Calibri" w:cs="Calibri"/>
                <w:sz w:val="22"/>
                <w:lang w:val="ky-KG"/>
              </w:rPr>
              <w:t>т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="007B7C39" w:rsidRPr="002302AF">
              <w:rPr>
                <w:rFonts w:ascii="Calibri" w:hAnsi="Calibri" w:cs="Calibri"/>
                <w:sz w:val="22"/>
                <w:lang w:val="ky-KG"/>
              </w:rPr>
              <w:t>н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="007B7C39" w:rsidRPr="002302AF">
              <w:rPr>
                <w:rFonts w:ascii="Calibri" w:hAnsi="Calibri" w:cs="Calibri"/>
                <w:sz w:val="22"/>
                <w:lang w:val="ky-KG"/>
              </w:rPr>
              <w:t xml:space="preserve">н жана суммасына жараша депозиттер боюнча жеке пайыздык коюмдарды коюу укугун 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="007B7C39" w:rsidRPr="002302AF">
              <w:rPr>
                <w:rFonts w:ascii="Calibri" w:hAnsi="Calibri" w:cs="Calibri"/>
                <w:sz w:val="22"/>
                <w:lang w:val="ky-KG"/>
              </w:rPr>
              <w:t>з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ү</w:t>
            </w:r>
            <w:r w:rsidR="007B7C39" w:rsidRPr="002302AF">
              <w:rPr>
                <w:rFonts w:ascii="Calibri" w:hAnsi="Calibri" w:cs="Calibri"/>
                <w:sz w:val="22"/>
                <w:lang w:val="ky-KG"/>
              </w:rPr>
              <w:t>н</w:t>
            </w:r>
            <w:r w:rsidR="00640688" w:rsidRPr="002302AF">
              <w:rPr>
                <w:rFonts w:ascii="Calibri" w:hAnsi="Calibri" w:cs="Calibri"/>
                <w:sz w:val="22"/>
                <w:lang w:val="ky-KG"/>
              </w:rPr>
              <w:t>ө</w:t>
            </w:r>
            <w:r w:rsidR="007B7C39" w:rsidRPr="002302AF">
              <w:rPr>
                <w:rFonts w:ascii="Calibri" w:hAnsi="Calibri" w:cs="Calibri"/>
                <w:sz w:val="22"/>
                <w:lang w:val="ky-KG"/>
              </w:rPr>
              <w:t xml:space="preserve"> калтырат.</w:t>
            </w:r>
            <w:r w:rsidRPr="002302AF">
              <w:rPr>
                <w:rFonts w:ascii="Calibri" w:hAnsi="Calibri" w:cs="Calibri"/>
                <w:sz w:val="22"/>
                <w:lang w:val="ky-KG"/>
              </w:rPr>
              <w:t xml:space="preserve"> </w:t>
            </w:r>
          </w:p>
        </w:tc>
      </w:tr>
    </w:tbl>
    <w:p w:rsidR="00123E60" w:rsidRPr="002302AF" w:rsidRDefault="00123E60" w:rsidP="00123E60">
      <w:pPr>
        <w:spacing w:after="0" w:line="240" w:lineRule="auto"/>
        <w:ind w:left="-1134"/>
        <w:jc w:val="both"/>
        <w:rPr>
          <w:rFonts w:ascii="Calibri" w:hAnsi="Calibri" w:cs="Calibri"/>
          <w:sz w:val="22"/>
          <w:lang w:val="ky-KG"/>
        </w:rPr>
      </w:pPr>
    </w:p>
    <w:p w:rsidR="00123E60" w:rsidRPr="00FC3BBB" w:rsidRDefault="00123E60" w:rsidP="00FC3BBB">
      <w:pPr>
        <w:spacing w:before="40" w:after="40" w:line="240" w:lineRule="exact"/>
        <w:ind w:left="-1134"/>
        <w:rPr>
          <w:rFonts w:ascii="Calibri" w:eastAsia="Calibri" w:hAnsi="Calibri" w:cs="Calibri"/>
          <w:sz w:val="22"/>
        </w:rPr>
      </w:pPr>
      <w:r w:rsidRPr="002302AF">
        <w:rPr>
          <w:rFonts w:ascii="Calibri" w:hAnsi="Calibri" w:cs="Calibri"/>
          <w:sz w:val="22"/>
          <w:lang w:val="ky-KG"/>
        </w:rPr>
        <w:t xml:space="preserve">*Эффективдүү пайыздык чен сом </w:t>
      </w:r>
      <w:r w:rsidRPr="008F4D95">
        <w:rPr>
          <w:rFonts w:ascii="Calibri" w:hAnsi="Calibri" w:cs="Calibri"/>
          <w:sz w:val="22"/>
          <w:lang w:val="ky-KG"/>
        </w:rPr>
        <w:t>менен 1</w:t>
      </w:r>
      <w:r w:rsidR="001757E5">
        <w:rPr>
          <w:rFonts w:ascii="Calibri" w:hAnsi="Calibri" w:cs="Calibri"/>
          <w:sz w:val="22"/>
          <w:lang w:val="ky-KG"/>
        </w:rPr>
        <w:t>0,91</w:t>
      </w:r>
      <w:bookmarkStart w:id="0" w:name="_GoBack"/>
      <w:bookmarkEnd w:id="0"/>
      <w:r w:rsidRPr="002302AF">
        <w:rPr>
          <w:rFonts w:ascii="Calibri" w:hAnsi="Calibri" w:cs="Calibri"/>
          <w:sz w:val="22"/>
          <w:lang w:val="ky-KG"/>
        </w:rPr>
        <w:t>% чейин</w:t>
      </w:r>
      <w:r w:rsidR="00FE52F4" w:rsidRPr="002302AF">
        <w:rPr>
          <w:rFonts w:ascii="Calibri" w:hAnsi="Calibri" w:cs="Calibri"/>
          <w:sz w:val="22"/>
          <w:lang w:val="ky-KG"/>
        </w:rPr>
        <w:t>, рубль менен 3,54% чейин.</w:t>
      </w:r>
    </w:p>
    <w:sectPr w:rsidR="00123E60" w:rsidRPr="00FC3BBB" w:rsidSect="00397D01">
      <w:headerReference w:type="default" r:id="rId7"/>
      <w:pgSz w:w="11906" w:h="16838"/>
      <w:pgMar w:top="153" w:right="850" w:bottom="284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2A9" w:rsidRDefault="003512A9" w:rsidP="004051F3">
      <w:pPr>
        <w:spacing w:after="0" w:line="240" w:lineRule="auto"/>
      </w:pPr>
      <w:r>
        <w:separator/>
      </w:r>
    </w:p>
  </w:endnote>
  <w:endnote w:type="continuationSeparator" w:id="0">
    <w:p w:rsidR="003512A9" w:rsidRDefault="003512A9" w:rsidP="0040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2A9" w:rsidRDefault="003512A9" w:rsidP="004051F3">
      <w:pPr>
        <w:spacing w:after="0" w:line="240" w:lineRule="auto"/>
      </w:pPr>
      <w:r>
        <w:separator/>
      </w:r>
    </w:p>
  </w:footnote>
  <w:footnote w:type="continuationSeparator" w:id="0">
    <w:p w:rsidR="003512A9" w:rsidRDefault="003512A9" w:rsidP="0040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688" w:rsidRPr="008C6E3E" w:rsidRDefault="00640688" w:rsidP="008C6E3E">
    <w:pPr>
      <w:pStyle w:val="ab"/>
      <w:jc w:val="center"/>
      <w:rPr>
        <w:rFonts w:ascii="Times New Roman" w:hAnsi="Times New Roman"/>
        <w:sz w:val="18"/>
        <w:szCs w:val="18"/>
        <w:lang w:val="ky-KG"/>
      </w:rPr>
    </w:pPr>
    <w:r>
      <w:rPr>
        <w:rFonts w:ascii="Times New Roman" w:hAnsi="Times New Roman"/>
        <w:sz w:val="18"/>
        <w:szCs w:val="18"/>
        <w:lang w:val="ky-KG"/>
      </w:rPr>
      <w:t xml:space="preserve">                                                                                                                                                          </w:t>
    </w:r>
    <w:r w:rsidR="008F4D95">
      <w:rPr>
        <w:rFonts w:ascii="Times New Roman" w:hAnsi="Times New Roman"/>
        <w:sz w:val="18"/>
        <w:szCs w:val="18"/>
        <w:lang w:val="ky-KG"/>
      </w:rPr>
      <w:t>01.1</w:t>
    </w:r>
    <w:r w:rsidR="001757E5">
      <w:rPr>
        <w:rFonts w:ascii="Times New Roman" w:hAnsi="Times New Roman"/>
        <w:sz w:val="18"/>
        <w:szCs w:val="18"/>
        <w:lang w:val="ky-KG"/>
      </w:rPr>
      <w:t>1</w:t>
    </w:r>
    <w:r w:rsidR="00307ECF">
      <w:rPr>
        <w:rFonts w:ascii="Times New Roman" w:hAnsi="Times New Roman"/>
        <w:sz w:val="18"/>
        <w:szCs w:val="18"/>
        <w:lang w:val="ky-KG"/>
      </w:rPr>
      <w:t>.2020</w:t>
    </w:r>
    <w:r w:rsidR="006537D0">
      <w:rPr>
        <w:rFonts w:ascii="Calibri" w:hAnsi="Calibri"/>
        <w:sz w:val="22"/>
      </w:rPr>
      <w:t xml:space="preserve">  </w:t>
    </w:r>
    <w:r w:rsidRPr="00AF0845">
      <w:rPr>
        <w:rFonts w:ascii="Times New Roman" w:hAnsi="Times New Roman"/>
        <w:sz w:val="18"/>
        <w:szCs w:val="18"/>
      </w:rPr>
      <w:t>-ж. к</w:t>
    </w:r>
    <w:r>
      <w:rPr>
        <w:rFonts w:ascii="Times New Roman" w:hAnsi="Times New Roman"/>
        <w:sz w:val="18"/>
        <w:szCs w:val="18"/>
        <w:lang w:val="ky-KG"/>
      </w:rPr>
      <w:t>үчүнө кирет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736D"/>
    <w:multiLevelType w:val="hybridMultilevel"/>
    <w:tmpl w:val="E72C25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6F6C69"/>
    <w:multiLevelType w:val="hybridMultilevel"/>
    <w:tmpl w:val="A522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E8D394C"/>
    <w:multiLevelType w:val="hybridMultilevel"/>
    <w:tmpl w:val="AE56A9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DA5ABA"/>
    <w:multiLevelType w:val="hybridMultilevel"/>
    <w:tmpl w:val="B55AC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D60026"/>
    <w:multiLevelType w:val="hybridMultilevel"/>
    <w:tmpl w:val="CF72C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6D7140"/>
    <w:multiLevelType w:val="hybridMultilevel"/>
    <w:tmpl w:val="D138D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EA3"/>
    <w:rsid w:val="000143C5"/>
    <w:rsid w:val="00042F94"/>
    <w:rsid w:val="0004462E"/>
    <w:rsid w:val="0006021B"/>
    <w:rsid w:val="000631D6"/>
    <w:rsid w:val="00071599"/>
    <w:rsid w:val="000843B2"/>
    <w:rsid w:val="00087150"/>
    <w:rsid w:val="00087A4D"/>
    <w:rsid w:val="00091E92"/>
    <w:rsid w:val="000A010E"/>
    <w:rsid w:val="000C2B32"/>
    <w:rsid w:val="000D3B27"/>
    <w:rsid w:val="000E0F02"/>
    <w:rsid w:val="000E4BC1"/>
    <w:rsid w:val="000F61E0"/>
    <w:rsid w:val="00110492"/>
    <w:rsid w:val="00113EEE"/>
    <w:rsid w:val="0011538E"/>
    <w:rsid w:val="0011598A"/>
    <w:rsid w:val="00123E60"/>
    <w:rsid w:val="001401FA"/>
    <w:rsid w:val="001439CA"/>
    <w:rsid w:val="00167D01"/>
    <w:rsid w:val="001757E5"/>
    <w:rsid w:val="00195512"/>
    <w:rsid w:val="001C6A78"/>
    <w:rsid w:val="001D7F0F"/>
    <w:rsid w:val="001F63EB"/>
    <w:rsid w:val="002066A7"/>
    <w:rsid w:val="00222CB4"/>
    <w:rsid w:val="0022395E"/>
    <w:rsid w:val="00224C43"/>
    <w:rsid w:val="002302AF"/>
    <w:rsid w:val="002313DC"/>
    <w:rsid w:val="00237998"/>
    <w:rsid w:val="00242A59"/>
    <w:rsid w:val="00256088"/>
    <w:rsid w:val="002636CF"/>
    <w:rsid w:val="00266F80"/>
    <w:rsid w:val="00296F3A"/>
    <w:rsid w:val="002A2DA8"/>
    <w:rsid w:val="002A4BF6"/>
    <w:rsid w:val="002B2053"/>
    <w:rsid w:val="002B4A4B"/>
    <w:rsid w:val="002B67A3"/>
    <w:rsid w:val="002D5633"/>
    <w:rsid w:val="00307ECF"/>
    <w:rsid w:val="0031069D"/>
    <w:rsid w:val="00324BDB"/>
    <w:rsid w:val="003425D1"/>
    <w:rsid w:val="003433EF"/>
    <w:rsid w:val="003512A9"/>
    <w:rsid w:val="00351D29"/>
    <w:rsid w:val="00370AFE"/>
    <w:rsid w:val="00397D01"/>
    <w:rsid w:val="003B0B6A"/>
    <w:rsid w:val="003B1BD8"/>
    <w:rsid w:val="003D02AE"/>
    <w:rsid w:val="003D56E0"/>
    <w:rsid w:val="003E144A"/>
    <w:rsid w:val="003F4964"/>
    <w:rsid w:val="003F5B49"/>
    <w:rsid w:val="004051F3"/>
    <w:rsid w:val="004166D7"/>
    <w:rsid w:val="00422D8D"/>
    <w:rsid w:val="00423ED4"/>
    <w:rsid w:val="00426533"/>
    <w:rsid w:val="00433220"/>
    <w:rsid w:val="0045327F"/>
    <w:rsid w:val="00455E11"/>
    <w:rsid w:val="00464B11"/>
    <w:rsid w:val="00482998"/>
    <w:rsid w:val="00484ED8"/>
    <w:rsid w:val="004B028A"/>
    <w:rsid w:val="004C5D06"/>
    <w:rsid w:val="004D0E3D"/>
    <w:rsid w:val="004D6D11"/>
    <w:rsid w:val="004D778A"/>
    <w:rsid w:val="004D7A1F"/>
    <w:rsid w:val="004F3CAC"/>
    <w:rsid w:val="00500AB1"/>
    <w:rsid w:val="0051135C"/>
    <w:rsid w:val="00512E39"/>
    <w:rsid w:val="00513001"/>
    <w:rsid w:val="00535EB2"/>
    <w:rsid w:val="00542287"/>
    <w:rsid w:val="00544EA3"/>
    <w:rsid w:val="00550DA8"/>
    <w:rsid w:val="005643C3"/>
    <w:rsid w:val="00567EA3"/>
    <w:rsid w:val="00570D7B"/>
    <w:rsid w:val="0057482F"/>
    <w:rsid w:val="00574B9A"/>
    <w:rsid w:val="00577FE5"/>
    <w:rsid w:val="00581AF3"/>
    <w:rsid w:val="0059087C"/>
    <w:rsid w:val="00590C6C"/>
    <w:rsid w:val="00595A73"/>
    <w:rsid w:val="005A4FF7"/>
    <w:rsid w:val="005A73DF"/>
    <w:rsid w:val="005C6CA6"/>
    <w:rsid w:val="00602A8F"/>
    <w:rsid w:val="0060331D"/>
    <w:rsid w:val="0061178A"/>
    <w:rsid w:val="00613507"/>
    <w:rsid w:val="006160B0"/>
    <w:rsid w:val="00630241"/>
    <w:rsid w:val="00640647"/>
    <w:rsid w:val="00640688"/>
    <w:rsid w:val="006463D7"/>
    <w:rsid w:val="0065216F"/>
    <w:rsid w:val="006537D0"/>
    <w:rsid w:val="00662960"/>
    <w:rsid w:val="00675B80"/>
    <w:rsid w:val="006A75A7"/>
    <w:rsid w:val="006B2929"/>
    <w:rsid w:val="006F42F4"/>
    <w:rsid w:val="00703A78"/>
    <w:rsid w:val="00720E3E"/>
    <w:rsid w:val="00721A6C"/>
    <w:rsid w:val="007266F9"/>
    <w:rsid w:val="00770F91"/>
    <w:rsid w:val="0077142C"/>
    <w:rsid w:val="007776ED"/>
    <w:rsid w:val="007812A1"/>
    <w:rsid w:val="00783D36"/>
    <w:rsid w:val="007A05FC"/>
    <w:rsid w:val="007A1EDA"/>
    <w:rsid w:val="007A2E91"/>
    <w:rsid w:val="007B7C39"/>
    <w:rsid w:val="007D40AF"/>
    <w:rsid w:val="007E6271"/>
    <w:rsid w:val="007F6568"/>
    <w:rsid w:val="00805181"/>
    <w:rsid w:val="008278FB"/>
    <w:rsid w:val="00840B68"/>
    <w:rsid w:val="00841588"/>
    <w:rsid w:val="00841F5D"/>
    <w:rsid w:val="008473EB"/>
    <w:rsid w:val="00870A08"/>
    <w:rsid w:val="008813D7"/>
    <w:rsid w:val="00881BE5"/>
    <w:rsid w:val="00895577"/>
    <w:rsid w:val="008A72AC"/>
    <w:rsid w:val="008A7FDE"/>
    <w:rsid w:val="008B47FB"/>
    <w:rsid w:val="008C6E3E"/>
    <w:rsid w:val="008F4D95"/>
    <w:rsid w:val="008F6D63"/>
    <w:rsid w:val="009243AA"/>
    <w:rsid w:val="00945864"/>
    <w:rsid w:val="00986588"/>
    <w:rsid w:val="00991CF7"/>
    <w:rsid w:val="00992388"/>
    <w:rsid w:val="00994333"/>
    <w:rsid w:val="009C443F"/>
    <w:rsid w:val="009C5B31"/>
    <w:rsid w:val="009D41A1"/>
    <w:rsid w:val="009F3CEA"/>
    <w:rsid w:val="00A20FF7"/>
    <w:rsid w:val="00A36D7C"/>
    <w:rsid w:val="00A445E7"/>
    <w:rsid w:val="00A80999"/>
    <w:rsid w:val="00A81B7A"/>
    <w:rsid w:val="00A82863"/>
    <w:rsid w:val="00A90329"/>
    <w:rsid w:val="00A95239"/>
    <w:rsid w:val="00AB0424"/>
    <w:rsid w:val="00AC4918"/>
    <w:rsid w:val="00AE0347"/>
    <w:rsid w:val="00AE2997"/>
    <w:rsid w:val="00AE4AF3"/>
    <w:rsid w:val="00AE6434"/>
    <w:rsid w:val="00AF0845"/>
    <w:rsid w:val="00B0399A"/>
    <w:rsid w:val="00B1704B"/>
    <w:rsid w:val="00B238EC"/>
    <w:rsid w:val="00B310DB"/>
    <w:rsid w:val="00B5325B"/>
    <w:rsid w:val="00B66A54"/>
    <w:rsid w:val="00B95043"/>
    <w:rsid w:val="00B96555"/>
    <w:rsid w:val="00BA628F"/>
    <w:rsid w:val="00BB00EA"/>
    <w:rsid w:val="00BB19B7"/>
    <w:rsid w:val="00BB1BD5"/>
    <w:rsid w:val="00BB2121"/>
    <w:rsid w:val="00BC019E"/>
    <w:rsid w:val="00BC256F"/>
    <w:rsid w:val="00BD007C"/>
    <w:rsid w:val="00BD09B1"/>
    <w:rsid w:val="00C210C8"/>
    <w:rsid w:val="00C31AE0"/>
    <w:rsid w:val="00C4643B"/>
    <w:rsid w:val="00C50655"/>
    <w:rsid w:val="00C613F8"/>
    <w:rsid w:val="00C83BDD"/>
    <w:rsid w:val="00C84585"/>
    <w:rsid w:val="00C97E09"/>
    <w:rsid w:val="00CA52EA"/>
    <w:rsid w:val="00CA660D"/>
    <w:rsid w:val="00CB6184"/>
    <w:rsid w:val="00CB7C8F"/>
    <w:rsid w:val="00CC12FB"/>
    <w:rsid w:val="00CC7CD9"/>
    <w:rsid w:val="00CD694D"/>
    <w:rsid w:val="00D130BA"/>
    <w:rsid w:val="00D13288"/>
    <w:rsid w:val="00D3143C"/>
    <w:rsid w:val="00D3722B"/>
    <w:rsid w:val="00D7573A"/>
    <w:rsid w:val="00D77A14"/>
    <w:rsid w:val="00D85AB9"/>
    <w:rsid w:val="00DC1053"/>
    <w:rsid w:val="00DE07F7"/>
    <w:rsid w:val="00E05CB3"/>
    <w:rsid w:val="00E24053"/>
    <w:rsid w:val="00E3097C"/>
    <w:rsid w:val="00E3255B"/>
    <w:rsid w:val="00E3437A"/>
    <w:rsid w:val="00E450EA"/>
    <w:rsid w:val="00E51347"/>
    <w:rsid w:val="00E513E8"/>
    <w:rsid w:val="00E51C79"/>
    <w:rsid w:val="00E522C1"/>
    <w:rsid w:val="00E728F3"/>
    <w:rsid w:val="00EA138F"/>
    <w:rsid w:val="00EA3FC2"/>
    <w:rsid w:val="00EB47E9"/>
    <w:rsid w:val="00EB5246"/>
    <w:rsid w:val="00EE3F1C"/>
    <w:rsid w:val="00EE602B"/>
    <w:rsid w:val="00F0278B"/>
    <w:rsid w:val="00F04479"/>
    <w:rsid w:val="00F135B3"/>
    <w:rsid w:val="00F26620"/>
    <w:rsid w:val="00F433E2"/>
    <w:rsid w:val="00F43949"/>
    <w:rsid w:val="00F47F5E"/>
    <w:rsid w:val="00F519EA"/>
    <w:rsid w:val="00F73FBB"/>
    <w:rsid w:val="00F87CBD"/>
    <w:rsid w:val="00F91CFA"/>
    <w:rsid w:val="00F91D5A"/>
    <w:rsid w:val="00F943AB"/>
    <w:rsid w:val="00FA520E"/>
    <w:rsid w:val="00FB7B5E"/>
    <w:rsid w:val="00FC382C"/>
    <w:rsid w:val="00FC3BBB"/>
    <w:rsid w:val="00FE52F4"/>
    <w:rsid w:val="00FF3E3D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C2C1F"/>
  <w15:chartTrackingRefBased/>
  <w15:docId w15:val="{381AE697-8036-4D3B-B53A-98B5AEDA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1FA"/>
    <w:pPr>
      <w:spacing w:after="200" w:line="276" w:lineRule="auto"/>
    </w:pPr>
    <w:rPr>
      <w:rFonts w:eastAsia="Times New Roman"/>
      <w:szCs w:val="22"/>
      <w:lang w:eastAsia="en-US"/>
    </w:rPr>
  </w:style>
  <w:style w:type="paragraph" w:styleId="5">
    <w:name w:val="heading 5"/>
    <w:basedOn w:val="a"/>
    <w:link w:val="50"/>
    <w:uiPriority w:val="9"/>
    <w:qFormat/>
    <w:locked/>
    <w:rsid w:val="00123E60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EA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567EA3"/>
    <w:pPr>
      <w:ind w:left="720"/>
      <w:contextualSpacing/>
    </w:pPr>
  </w:style>
  <w:style w:type="paragraph" w:styleId="a4">
    <w:name w:val="Balloon Text"/>
    <w:basedOn w:val="a"/>
    <w:link w:val="a5"/>
    <w:semiHidden/>
    <w:rsid w:val="0026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266F80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110492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110492"/>
    <w:pPr>
      <w:spacing w:line="240" w:lineRule="auto"/>
    </w:pPr>
    <w:rPr>
      <w:szCs w:val="20"/>
    </w:rPr>
  </w:style>
  <w:style w:type="character" w:customStyle="1" w:styleId="a8">
    <w:name w:val="Текст примечания Знак"/>
    <w:link w:val="a7"/>
    <w:semiHidden/>
    <w:locked/>
    <w:rsid w:val="00110492"/>
    <w:rPr>
      <w:rFonts w:cs="Times New Roman"/>
      <w:lang w:val="x-none" w:eastAsia="en-US"/>
    </w:rPr>
  </w:style>
  <w:style w:type="paragraph" w:styleId="a9">
    <w:name w:val="annotation subject"/>
    <w:basedOn w:val="a7"/>
    <w:next w:val="a7"/>
    <w:link w:val="aa"/>
    <w:semiHidden/>
    <w:rsid w:val="00110492"/>
    <w:rPr>
      <w:b/>
      <w:bCs/>
    </w:rPr>
  </w:style>
  <w:style w:type="character" w:customStyle="1" w:styleId="aa">
    <w:name w:val="Тема примечания Знак"/>
    <w:link w:val="a9"/>
    <w:semiHidden/>
    <w:locked/>
    <w:rsid w:val="00110492"/>
    <w:rPr>
      <w:rFonts w:cs="Times New Roman"/>
      <w:b/>
      <w:bCs/>
      <w:lang w:val="x-none" w:eastAsia="en-US"/>
    </w:rPr>
  </w:style>
  <w:style w:type="paragraph" w:styleId="ab">
    <w:name w:val="header"/>
    <w:basedOn w:val="a"/>
    <w:link w:val="ac"/>
    <w:rsid w:val="00405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locked/>
    <w:rsid w:val="004051F3"/>
    <w:rPr>
      <w:rFonts w:cs="Times New Roman"/>
      <w:sz w:val="22"/>
      <w:szCs w:val="22"/>
      <w:lang w:val="x-none" w:eastAsia="en-US"/>
    </w:rPr>
  </w:style>
  <w:style w:type="paragraph" w:styleId="ad">
    <w:name w:val="footer"/>
    <w:basedOn w:val="a"/>
    <w:link w:val="ae"/>
    <w:semiHidden/>
    <w:rsid w:val="00405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semiHidden/>
    <w:locked/>
    <w:rsid w:val="004051F3"/>
    <w:rPr>
      <w:rFonts w:cs="Times New Roman"/>
      <w:sz w:val="22"/>
      <w:szCs w:val="22"/>
      <w:lang w:val="x-none" w:eastAsia="en-US"/>
    </w:rPr>
  </w:style>
  <w:style w:type="character" w:customStyle="1" w:styleId="50">
    <w:name w:val="Заголовок 5 Знак"/>
    <w:link w:val="5"/>
    <w:uiPriority w:val="9"/>
    <w:rsid w:val="00123E6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ВКЛАД «НАКОПИТЕЛЬНЫЙ»</vt:lpstr>
    </vt:vector>
  </TitlesOfParts>
  <Company>Krokoz™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ВКЛАД «НАКОПИТЕЛЬНЫЙ»</dc:title>
  <dc:subject/>
  <dc:creator>aimanalieva</dc:creator>
  <cp:keywords/>
  <dc:description/>
  <cp:lastModifiedBy>Алиса Байгазиева</cp:lastModifiedBy>
  <cp:revision>11</cp:revision>
  <cp:lastPrinted>2019-04-11T09:55:00Z</cp:lastPrinted>
  <dcterms:created xsi:type="dcterms:W3CDTF">2020-06-25T10:10:00Z</dcterms:created>
  <dcterms:modified xsi:type="dcterms:W3CDTF">2020-10-27T13:03:00Z</dcterms:modified>
</cp:coreProperties>
</file>